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890"/>
        <w:gridCol w:w="157"/>
        <w:gridCol w:w="257"/>
        <w:gridCol w:w="155"/>
        <w:gridCol w:w="187"/>
        <w:gridCol w:w="383"/>
        <w:gridCol w:w="435"/>
        <w:gridCol w:w="119"/>
        <w:gridCol w:w="16"/>
        <w:gridCol w:w="269"/>
        <w:gridCol w:w="300"/>
        <w:gridCol w:w="353"/>
        <w:gridCol w:w="217"/>
        <w:gridCol w:w="570"/>
        <w:gridCol w:w="80"/>
        <w:gridCol w:w="71"/>
        <w:gridCol w:w="273"/>
        <w:gridCol w:w="146"/>
        <w:gridCol w:w="113"/>
        <w:gridCol w:w="405"/>
        <w:gridCol w:w="51"/>
        <w:gridCol w:w="570"/>
        <w:gridCol w:w="317"/>
        <w:gridCol w:w="253"/>
        <w:gridCol w:w="570"/>
        <w:gridCol w:w="115"/>
        <w:gridCol w:w="1422"/>
        <w:gridCol w:w="10"/>
      </w:tblGrid>
      <w:tr w:rsidR="006A701A" w:rsidRPr="0050413F" w14:paraId="37A5E6A7" w14:textId="77777777" w:rsidTr="00676C8D">
        <w:trPr>
          <w:gridAfter w:val="1"/>
          <w:wAfter w:w="10" w:type="dxa"/>
          <w:trHeight w:val="1611"/>
        </w:trPr>
        <w:tc>
          <w:tcPr>
            <w:tcW w:w="6631" w:type="dxa"/>
            <w:gridSpan w:val="17"/>
          </w:tcPr>
          <w:p w14:paraId="4030E562" w14:textId="77777777" w:rsidR="006A701A" w:rsidRPr="0050413F" w:rsidRDefault="006A701A" w:rsidP="0050413F">
            <w:pPr>
              <w:spacing w:line="240" w:lineRule="auto"/>
              <w:ind w:left="-76"/>
              <w:rPr>
                <w:rFonts w:ascii="Times New Roman" w:hAnsi="Times New Roman"/>
                <w:color w:val="000000"/>
              </w:rPr>
            </w:pPr>
            <w:bookmarkStart w:id="0" w:name="t1"/>
            <w:r w:rsidRPr="0050413F">
              <w:rPr>
                <w:rFonts w:ascii="Times New Roman" w:hAnsi="Times New Roman"/>
                <w:b/>
                <w:color w:val="000000"/>
              </w:rPr>
              <w:t xml:space="preserve">Nazwa </w:t>
            </w:r>
            <w:r w:rsidR="001B75D8" w:rsidRPr="0050413F">
              <w:rPr>
                <w:rFonts w:ascii="Times New Roman" w:hAnsi="Times New Roman"/>
                <w:b/>
                <w:color w:val="000000"/>
              </w:rPr>
              <w:t>projektu</w:t>
            </w:r>
          </w:p>
          <w:p w14:paraId="2EDCB56C" w14:textId="77777777" w:rsidR="006A701A" w:rsidRPr="0050413F" w:rsidRDefault="004A0998" w:rsidP="0050413F">
            <w:pPr>
              <w:spacing w:line="240" w:lineRule="auto"/>
              <w:ind w:left="-76"/>
              <w:rPr>
                <w:rFonts w:ascii="Times New Roman" w:hAnsi="Times New Roman"/>
                <w:color w:val="000000"/>
              </w:rPr>
            </w:pPr>
            <w:r w:rsidRPr="0050413F">
              <w:rPr>
                <w:rFonts w:ascii="Times New Roman" w:hAnsi="Times New Roman"/>
                <w:color w:val="000000"/>
              </w:rPr>
              <w:t>Ustawa o zmianie ustawy o elektromobilności i paliwach alternatywnych oraz niektórych innych ustaw</w:t>
            </w:r>
          </w:p>
          <w:p w14:paraId="070D363E" w14:textId="77777777" w:rsidR="0050413F" w:rsidRDefault="0050413F" w:rsidP="0050413F">
            <w:pPr>
              <w:spacing w:line="240" w:lineRule="auto"/>
              <w:ind w:left="-76"/>
              <w:rPr>
                <w:rFonts w:ascii="Times New Roman" w:hAnsi="Times New Roman"/>
                <w:b/>
                <w:color w:val="000000"/>
              </w:rPr>
            </w:pPr>
          </w:p>
          <w:p w14:paraId="6428BB63" w14:textId="07489873" w:rsidR="006A701A" w:rsidRPr="0050413F" w:rsidRDefault="006A701A" w:rsidP="0050413F">
            <w:pPr>
              <w:spacing w:line="240" w:lineRule="auto"/>
              <w:ind w:left="-76"/>
              <w:rPr>
                <w:rFonts w:ascii="Times New Roman" w:hAnsi="Times New Roman"/>
                <w:b/>
                <w:color w:val="000000"/>
              </w:rPr>
            </w:pPr>
            <w:r w:rsidRPr="0050413F">
              <w:rPr>
                <w:rFonts w:ascii="Times New Roman" w:hAnsi="Times New Roman"/>
                <w:b/>
                <w:color w:val="000000"/>
              </w:rPr>
              <w:t>Ministerstwo wiodące i ministerstwa współpracujące</w:t>
            </w:r>
          </w:p>
          <w:bookmarkEnd w:id="0"/>
          <w:p w14:paraId="09A9A5ED" w14:textId="226F8160" w:rsidR="006A701A" w:rsidRPr="0050413F" w:rsidRDefault="004A0998" w:rsidP="0050413F">
            <w:pPr>
              <w:spacing w:line="240" w:lineRule="auto"/>
              <w:ind w:left="-76"/>
              <w:rPr>
                <w:rFonts w:ascii="Times New Roman" w:hAnsi="Times New Roman"/>
                <w:color w:val="000000"/>
              </w:rPr>
            </w:pPr>
            <w:r w:rsidRPr="0050413F">
              <w:rPr>
                <w:rFonts w:ascii="Times New Roman" w:hAnsi="Times New Roman"/>
                <w:color w:val="000000"/>
              </w:rPr>
              <w:t>Ministerstwo Klimatu</w:t>
            </w:r>
            <w:r w:rsidR="00656825" w:rsidRPr="0050413F">
              <w:rPr>
                <w:rFonts w:ascii="Times New Roman" w:hAnsi="Times New Roman"/>
                <w:color w:val="000000"/>
              </w:rPr>
              <w:t xml:space="preserve"> </w:t>
            </w:r>
            <w:r w:rsidR="00F4378C" w:rsidRPr="0050413F">
              <w:rPr>
                <w:rFonts w:ascii="Times New Roman" w:hAnsi="Times New Roman"/>
                <w:color w:val="000000"/>
              </w:rPr>
              <w:t xml:space="preserve">i Środowiska </w:t>
            </w:r>
            <w:r w:rsidR="00656825" w:rsidRPr="0050413F">
              <w:rPr>
                <w:rFonts w:ascii="Times New Roman" w:hAnsi="Times New Roman"/>
                <w:color w:val="000000"/>
              </w:rPr>
              <w:t>we współpracy z Ministerstwem Infrastruktury</w:t>
            </w:r>
            <w:r w:rsidR="00EB75DD">
              <w:rPr>
                <w:rFonts w:ascii="Times New Roman" w:hAnsi="Times New Roman"/>
                <w:color w:val="000000"/>
              </w:rPr>
              <w:t xml:space="preserve"> oraz Ministerstwem Rozwoju, Pracy i Technologii</w:t>
            </w:r>
          </w:p>
          <w:p w14:paraId="4AA5160B" w14:textId="77777777" w:rsidR="0050413F" w:rsidRDefault="0050413F" w:rsidP="0050413F">
            <w:pPr>
              <w:spacing w:line="240" w:lineRule="auto"/>
              <w:ind w:left="-76"/>
              <w:rPr>
                <w:rFonts w:ascii="Times New Roman" w:hAnsi="Times New Roman"/>
                <w:b/>
              </w:rPr>
            </w:pPr>
          </w:p>
          <w:p w14:paraId="4C4F2A39" w14:textId="20E6A06C" w:rsidR="001B3460" w:rsidRPr="0050413F" w:rsidRDefault="001B3460" w:rsidP="0050413F">
            <w:pPr>
              <w:spacing w:line="240" w:lineRule="auto"/>
              <w:ind w:left="-76"/>
              <w:rPr>
                <w:rFonts w:ascii="Times New Roman" w:hAnsi="Times New Roman"/>
                <w:b/>
              </w:rPr>
            </w:pPr>
            <w:r w:rsidRPr="0050413F">
              <w:rPr>
                <w:rFonts w:ascii="Times New Roman" w:hAnsi="Times New Roman"/>
                <w:b/>
              </w:rPr>
              <w:t xml:space="preserve">Osoba odpowiedzialna za projekt w randze Ministra, Sekretarza Stanu lub Podsekretarza Stanu </w:t>
            </w:r>
          </w:p>
          <w:p w14:paraId="14139E3B" w14:textId="148D751C" w:rsidR="001B3460" w:rsidRPr="0050413F" w:rsidRDefault="001413DF" w:rsidP="0050413F">
            <w:pPr>
              <w:spacing w:line="240" w:lineRule="auto"/>
              <w:ind w:left="-76"/>
              <w:rPr>
                <w:rFonts w:ascii="Times New Roman" w:hAnsi="Times New Roman"/>
              </w:rPr>
            </w:pPr>
            <w:r w:rsidRPr="0050413F">
              <w:rPr>
                <w:rFonts w:ascii="Times New Roman" w:hAnsi="Times New Roman"/>
              </w:rPr>
              <w:t xml:space="preserve">Ireneusz Zyska </w:t>
            </w:r>
            <w:r w:rsidR="00F4378C" w:rsidRPr="0050413F">
              <w:rPr>
                <w:rFonts w:ascii="Times New Roman" w:hAnsi="Times New Roman"/>
              </w:rPr>
              <w:t xml:space="preserve"> </w:t>
            </w:r>
            <w:r w:rsidRPr="0050413F">
              <w:rPr>
                <w:rFonts w:ascii="Times New Roman" w:hAnsi="Times New Roman"/>
              </w:rPr>
              <w:t>–Sekretarz Stanu w</w:t>
            </w:r>
            <w:r w:rsidR="004E1340" w:rsidRPr="0050413F">
              <w:rPr>
                <w:rFonts w:ascii="Times New Roman" w:hAnsi="Times New Roman"/>
              </w:rPr>
              <w:t xml:space="preserve"> Minister</w:t>
            </w:r>
            <w:r w:rsidRPr="0050413F">
              <w:rPr>
                <w:rFonts w:ascii="Times New Roman" w:hAnsi="Times New Roman"/>
              </w:rPr>
              <w:t>stwie</w:t>
            </w:r>
            <w:r w:rsidR="004E1340" w:rsidRPr="0050413F">
              <w:rPr>
                <w:rFonts w:ascii="Times New Roman" w:hAnsi="Times New Roman"/>
              </w:rPr>
              <w:t xml:space="preserve"> Klimatu</w:t>
            </w:r>
            <w:r w:rsidR="00F4378C" w:rsidRPr="0050413F">
              <w:rPr>
                <w:rFonts w:ascii="Times New Roman" w:hAnsi="Times New Roman"/>
              </w:rPr>
              <w:t xml:space="preserve"> i Środowiska</w:t>
            </w:r>
          </w:p>
          <w:p w14:paraId="7B24C38F" w14:textId="77777777" w:rsidR="0050413F" w:rsidRDefault="0050413F" w:rsidP="0050413F">
            <w:pPr>
              <w:spacing w:line="240" w:lineRule="auto"/>
              <w:ind w:left="-76"/>
              <w:rPr>
                <w:rFonts w:ascii="Times New Roman" w:hAnsi="Times New Roman"/>
                <w:b/>
                <w:color w:val="000000"/>
              </w:rPr>
            </w:pPr>
          </w:p>
          <w:p w14:paraId="4FAA08E3" w14:textId="3A4B706C" w:rsidR="006A701A" w:rsidRPr="0050413F" w:rsidRDefault="006A701A" w:rsidP="0050413F">
            <w:pPr>
              <w:spacing w:line="240" w:lineRule="auto"/>
              <w:ind w:left="-76"/>
              <w:rPr>
                <w:rFonts w:ascii="Times New Roman" w:hAnsi="Times New Roman"/>
                <w:b/>
                <w:color w:val="000000"/>
              </w:rPr>
            </w:pPr>
            <w:r w:rsidRPr="0050413F">
              <w:rPr>
                <w:rFonts w:ascii="Times New Roman" w:hAnsi="Times New Roman"/>
                <w:b/>
                <w:color w:val="000000"/>
              </w:rPr>
              <w:t>Kontakt do opiekuna merytorycznego projektu</w:t>
            </w:r>
          </w:p>
          <w:p w14:paraId="4923C2EF" w14:textId="77777777" w:rsidR="006A701A" w:rsidRPr="0050413F" w:rsidRDefault="004A0998" w:rsidP="0050413F">
            <w:pPr>
              <w:spacing w:line="240" w:lineRule="auto"/>
              <w:ind w:left="-76"/>
              <w:rPr>
                <w:rFonts w:ascii="Times New Roman" w:hAnsi="Times New Roman"/>
                <w:color w:val="000000"/>
              </w:rPr>
            </w:pPr>
            <w:r w:rsidRPr="0050413F">
              <w:rPr>
                <w:rFonts w:ascii="Times New Roman" w:hAnsi="Times New Roman"/>
                <w:color w:val="000000"/>
              </w:rPr>
              <w:t>Szymon Byliński, tel. (22) 695 81 50, szymon.bylinski@klimat.gov.pl</w:t>
            </w:r>
          </w:p>
        </w:tc>
        <w:tc>
          <w:tcPr>
            <w:tcW w:w="4306" w:type="dxa"/>
            <w:gridSpan w:val="12"/>
            <w:shd w:val="clear" w:color="auto" w:fill="FFFFFF"/>
          </w:tcPr>
          <w:p w14:paraId="7BFA15D3" w14:textId="407FE54E" w:rsidR="001B3460" w:rsidRPr="0050413F" w:rsidRDefault="001B3460" w:rsidP="0050413F">
            <w:pPr>
              <w:spacing w:line="240" w:lineRule="auto"/>
              <w:rPr>
                <w:rFonts w:ascii="Times New Roman" w:hAnsi="Times New Roman"/>
                <w:b/>
              </w:rPr>
            </w:pPr>
            <w:r w:rsidRPr="0050413F">
              <w:rPr>
                <w:rFonts w:ascii="Times New Roman" w:hAnsi="Times New Roman"/>
                <w:b/>
              </w:rPr>
              <w:t>Data sporządzenia</w:t>
            </w:r>
            <w:r w:rsidRPr="0050413F">
              <w:rPr>
                <w:rFonts w:ascii="Times New Roman" w:hAnsi="Times New Roman"/>
                <w:b/>
              </w:rPr>
              <w:br/>
            </w:r>
            <w:r w:rsidR="00103EA5">
              <w:rPr>
                <w:rFonts w:ascii="Times New Roman" w:hAnsi="Times New Roman"/>
              </w:rPr>
              <w:t>11</w:t>
            </w:r>
            <w:r w:rsidR="002433DB" w:rsidRPr="0050413F">
              <w:rPr>
                <w:rFonts w:ascii="Times New Roman" w:hAnsi="Times New Roman"/>
              </w:rPr>
              <w:t>.</w:t>
            </w:r>
            <w:r w:rsidR="00EB75DD">
              <w:rPr>
                <w:rFonts w:ascii="Times New Roman" w:hAnsi="Times New Roman"/>
              </w:rPr>
              <w:t>02</w:t>
            </w:r>
            <w:r w:rsidR="002433DB" w:rsidRPr="0050413F">
              <w:rPr>
                <w:rFonts w:ascii="Times New Roman" w:hAnsi="Times New Roman"/>
              </w:rPr>
              <w:t>.</w:t>
            </w:r>
            <w:r w:rsidR="00EB75DD" w:rsidRPr="0050413F">
              <w:rPr>
                <w:rFonts w:ascii="Times New Roman" w:hAnsi="Times New Roman"/>
              </w:rPr>
              <w:t>202</w:t>
            </w:r>
            <w:r w:rsidR="00EB75DD">
              <w:rPr>
                <w:rFonts w:ascii="Times New Roman" w:hAnsi="Times New Roman"/>
              </w:rPr>
              <w:t>1</w:t>
            </w:r>
            <w:r w:rsidR="00EB75DD" w:rsidRPr="0050413F">
              <w:rPr>
                <w:rFonts w:ascii="Times New Roman" w:hAnsi="Times New Roman"/>
              </w:rPr>
              <w:t xml:space="preserve"> </w:t>
            </w:r>
            <w:r w:rsidR="0033397C" w:rsidRPr="0050413F">
              <w:rPr>
                <w:rFonts w:ascii="Times New Roman" w:hAnsi="Times New Roman"/>
              </w:rPr>
              <w:t>r.</w:t>
            </w:r>
          </w:p>
          <w:p w14:paraId="44243909" w14:textId="77777777" w:rsidR="00F76884" w:rsidRPr="0050413F" w:rsidRDefault="00F76884" w:rsidP="0050413F">
            <w:pPr>
              <w:spacing w:line="240" w:lineRule="auto"/>
              <w:rPr>
                <w:rFonts w:ascii="Times New Roman" w:hAnsi="Times New Roman"/>
                <w:b/>
              </w:rPr>
            </w:pPr>
          </w:p>
          <w:p w14:paraId="3CACF200" w14:textId="77777777" w:rsidR="00F76884" w:rsidRPr="0050413F" w:rsidRDefault="00F76884" w:rsidP="0050413F">
            <w:pPr>
              <w:spacing w:line="240" w:lineRule="auto"/>
              <w:rPr>
                <w:rFonts w:ascii="Times New Roman" w:hAnsi="Times New Roman"/>
                <w:b/>
              </w:rPr>
            </w:pPr>
            <w:r w:rsidRPr="0050413F">
              <w:rPr>
                <w:rFonts w:ascii="Times New Roman" w:hAnsi="Times New Roman"/>
                <w:b/>
              </w:rPr>
              <w:t xml:space="preserve">Źródło: </w:t>
            </w:r>
            <w:bookmarkStart w:id="1" w:name="Lista1"/>
          </w:p>
          <w:bookmarkEnd w:id="1"/>
          <w:p w14:paraId="51CCBAC6" w14:textId="77777777" w:rsidR="00F76884" w:rsidRPr="0050413F" w:rsidRDefault="00F638E8" w:rsidP="0050413F">
            <w:pPr>
              <w:spacing w:line="240" w:lineRule="auto"/>
              <w:rPr>
                <w:rFonts w:ascii="Times New Roman" w:hAnsi="Times New Roman"/>
              </w:rPr>
            </w:pPr>
            <w:r w:rsidRPr="0050413F">
              <w:rPr>
                <w:rFonts w:ascii="Times New Roman" w:hAnsi="Times New Roman"/>
              </w:rPr>
              <w:t>Inicjatywa własna</w:t>
            </w:r>
            <w:r w:rsidR="00AA1F01" w:rsidRPr="0050413F">
              <w:rPr>
                <w:rFonts w:ascii="Times New Roman" w:hAnsi="Times New Roman"/>
              </w:rPr>
              <w:t>, wdrożenie prawa UE</w:t>
            </w:r>
          </w:p>
          <w:p w14:paraId="64FBCCA2" w14:textId="77777777" w:rsidR="0050413F" w:rsidRDefault="0050413F" w:rsidP="0050413F">
            <w:pPr>
              <w:spacing w:line="240" w:lineRule="auto"/>
              <w:rPr>
                <w:rFonts w:ascii="Times New Roman" w:hAnsi="Times New Roman"/>
                <w:b/>
                <w:color w:val="000000"/>
              </w:rPr>
            </w:pPr>
          </w:p>
          <w:p w14:paraId="3626106D" w14:textId="4C6F4D78" w:rsidR="006A701A" w:rsidRPr="0050413F" w:rsidRDefault="006A701A" w:rsidP="0050413F">
            <w:pPr>
              <w:spacing w:line="240" w:lineRule="auto"/>
              <w:rPr>
                <w:rFonts w:ascii="Times New Roman" w:hAnsi="Times New Roman"/>
                <w:b/>
                <w:color w:val="000000"/>
              </w:rPr>
            </w:pPr>
            <w:r w:rsidRPr="0050413F">
              <w:rPr>
                <w:rFonts w:ascii="Times New Roman" w:hAnsi="Times New Roman"/>
                <w:b/>
                <w:color w:val="000000"/>
              </w:rPr>
              <w:t xml:space="preserve">Nr </w:t>
            </w:r>
            <w:r w:rsidR="0057668E" w:rsidRPr="0050413F">
              <w:rPr>
                <w:rFonts w:ascii="Times New Roman" w:hAnsi="Times New Roman"/>
                <w:b/>
                <w:color w:val="000000"/>
              </w:rPr>
              <w:t>w</w:t>
            </w:r>
            <w:r w:rsidRPr="0050413F">
              <w:rPr>
                <w:rFonts w:ascii="Times New Roman" w:hAnsi="Times New Roman"/>
                <w:b/>
                <w:color w:val="000000"/>
              </w:rPr>
              <w:t xml:space="preserve"> wykaz</w:t>
            </w:r>
            <w:r w:rsidR="0057668E" w:rsidRPr="0050413F">
              <w:rPr>
                <w:rFonts w:ascii="Times New Roman" w:hAnsi="Times New Roman"/>
                <w:b/>
                <w:color w:val="000000"/>
              </w:rPr>
              <w:t>ie</w:t>
            </w:r>
            <w:r w:rsidRPr="0050413F">
              <w:rPr>
                <w:rFonts w:ascii="Times New Roman" w:hAnsi="Times New Roman"/>
                <w:b/>
                <w:color w:val="000000"/>
              </w:rPr>
              <w:t xml:space="preserve"> prac</w:t>
            </w:r>
            <w:r w:rsidR="00B04F8A" w:rsidRPr="0050413F">
              <w:rPr>
                <w:rFonts w:ascii="Times New Roman" w:hAnsi="Times New Roman"/>
                <w:b/>
                <w:color w:val="000000"/>
              </w:rPr>
              <w:t>:</w:t>
            </w:r>
          </w:p>
          <w:p w14:paraId="6D50FEE9" w14:textId="163CC38F" w:rsidR="006A701A" w:rsidRPr="0050413F" w:rsidRDefault="00B04F8A" w:rsidP="0050413F">
            <w:pPr>
              <w:spacing w:line="240" w:lineRule="auto"/>
              <w:rPr>
                <w:rFonts w:ascii="Times New Roman" w:hAnsi="Times New Roman"/>
                <w:color w:val="000000"/>
              </w:rPr>
            </w:pPr>
            <w:r w:rsidRPr="0050413F">
              <w:rPr>
                <w:rFonts w:ascii="Times New Roman" w:hAnsi="Times New Roman"/>
                <w:color w:val="000000"/>
              </w:rPr>
              <w:t>UC 65</w:t>
            </w:r>
          </w:p>
          <w:p w14:paraId="57501E43" w14:textId="77777777" w:rsidR="006A701A" w:rsidRPr="0050413F" w:rsidRDefault="006A701A" w:rsidP="0050413F">
            <w:pPr>
              <w:spacing w:line="240" w:lineRule="auto"/>
              <w:rPr>
                <w:rFonts w:ascii="Times New Roman" w:hAnsi="Times New Roman"/>
                <w:color w:val="000000"/>
              </w:rPr>
            </w:pPr>
          </w:p>
        </w:tc>
      </w:tr>
      <w:tr w:rsidR="006A701A" w:rsidRPr="0050413F" w14:paraId="5C1B6F71" w14:textId="77777777" w:rsidTr="00676C8D">
        <w:trPr>
          <w:gridAfter w:val="1"/>
          <w:wAfter w:w="10" w:type="dxa"/>
          <w:trHeight w:val="142"/>
        </w:trPr>
        <w:tc>
          <w:tcPr>
            <w:tcW w:w="10937" w:type="dxa"/>
            <w:gridSpan w:val="29"/>
            <w:shd w:val="clear" w:color="auto" w:fill="99CCFF"/>
          </w:tcPr>
          <w:p w14:paraId="728E673C" w14:textId="77777777" w:rsidR="006A701A" w:rsidRPr="0050413F" w:rsidRDefault="006A701A" w:rsidP="0050413F">
            <w:pPr>
              <w:spacing w:line="240" w:lineRule="auto"/>
              <w:ind w:left="57"/>
              <w:jc w:val="center"/>
              <w:rPr>
                <w:rFonts w:ascii="Times New Roman" w:hAnsi="Times New Roman"/>
                <w:b/>
                <w:color w:val="FFFFFF"/>
              </w:rPr>
            </w:pPr>
            <w:r w:rsidRPr="0050413F">
              <w:rPr>
                <w:rFonts w:ascii="Times New Roman" w:hAnsi="Times New Roman"/>
                <w:b/>
                <w:color w:val="FFFFFF"/>
                <w:sz w:val="32"/>
                <w:szCs w:val="32"/>
              </w:rPr>
              <w:t>OCENA SKUTKÓW REGULACJI</w:t>
            </w:r>
          </w:p>
        </w:tc>
      </w:tr>
      <w:tr w:rsidR="006A701A" w:rsidRPr="0050413F" w14:paraId="46897057" w14:textId="77777777" w:rsidTr="00676C8D">
        <w:trPr>
          <w:gridAfter w:val="1"/>
          <w:wAfter w:w="10" w:type="dxa"/>
          <w:trHeight w:val="333"/>
        </w:trPr>
        <w:tc>
          <w:tcPr>
            <w:tcW w:w="10937" w:type="dxa"/>
            <w:gridSpan w:val="29"/>
            <w:shd w:val="clear" w:color="auto" w:fill="99CCFF"/>
            <w:vAlign w:val="center"/>
          </w:tcPr>
          <w:p w14:paraId="238F2BA0" w14:textId="77777777" w:rsidR="006A701A" w:rsidRPr="0050413F" w:rsidRDefault="003D12F6" w:rsidP="0050413F">
            <w:pPr>
              <w:numPr>
                <w:ilvl w:val="0"/>
                <w:numId w:val="3"/>
              </w:numPr>
              <w:spacing w:line="240" w:lineRule="auto"/>
              <w:ind w:left="318" w:hanging="284"/>
              <w:jc w:val="both"/>
              <w:rPr>
                <w:rFonts w:ascii="Times New Roman" w:hAnsi="Times New Roman"/>
                <w:b/>
                <w:color w:val="000000"/>
              </w:rPr>
            </w:pPr>
            <w:r w:rsidRPr="0050413F">
              <w:rPr>
                <w:rFonts w:ascii="Times New Roman" w:hAnsi="Times New Roman"/>
                <w:b/>
              </w:rPr>
              <w:t xml:space="preserve">Jaki problem jest </w:t>
            </w:r>
            <w:r w:rsidR="00CC6305" w:rsidRPr="0050413F">
              <w:rPr>
                <w:rFonts w:ascii="Times New Roman" w:hAnsi="Times New Roman"/>
                <w:b/>
              </w:rPr>
              <w:t>rozwiązywany?</w:t>
            </w:r>
            <w:bookmarkStart w:id="2" w:name="Wybór1"/>
            <w:bookmarkEnd w:id="2"/>
          </w:p>
        </w:tc>
      </w:tr>
      <w:tr w:rsidR="006A701A" w:rsidRPr="0050413F" w14:paraId="0FFF27BA" w14:textId="77777777" w:rsidTr="00676C8D">
        <w:trPr>
          <w:gridAfter w:val="1"/>
          <w:wAfter w:w="10" w:type="dxa"/>
          <w:trHeight w:val="142"/>
        </w:trPr>
        <w:tc>
          <w:tcPr>
            <w:tcW w:w="10937" w:type="dxa"/>
            <w:gridSpan w:val="29"/>
            <w:shd w:val="clear" w:color="auto" w:fill="FFFFFF"/>
          </w:tcPr>
          <w:p w14:paraId="3748B1A3" w14:textId="44714186" w:rsidR="00F638E8" w:rsidRPr="0050413F" w:rsidRDefault="00AA1F01" w:rsidP="0050413F">
            <w:pPr>
              <w:spacing w:line="240" w:lineRule="auto"/>
              <w:jc w:val="both"/>
              <w:rPr>
                <w:rFonts w:ascii="Times New Roman" w:hAnsi="Times New Roman"/>
                <w:color w:val="000000"/>
              </w:rPr>
            </w:pPr>
            <w:r w:rsidRPr="0050413F">
              <w:rPr>
                <w:rFonts w:ascii="Times New Roman" w:hAnsi="Times New Roman"/>
                <w:color w:val="000000"/>
              </w:rPr>
              <w:t xml:space="preserve">1. </w:t>
            </w:r>
            <w:r w:rsidR="00F638E8" w:rsidRPr="0050413F">
              <w:rPr>
                <w:rFonts w:ascii="Times New Roman" w:hAnsi="Times New Roman"/>
                <w:color w:val="000000"/>
              </w:rPr>
              <w:t xml:space="preserve">Celem projektowanych zmian jest dostosowanie ustawy do założeń przedstawionych </w:t>
            </w:r>
            <w:r w:rsidR="00C92463" w:rsidRPr="0050413F">
              <w:rPr>
                <w:rFonts w:ascii="Times New Roman" w:hAnsi="Times New Roman"/>
                <w:color w:val="000000"/>
              </w:rPr>
              <w:t>przez Ministra Klimatu</w:t>
            </w:r>
            <w:r w:rsidR="00F4378C" w:rsidRPr="0050413F">
              <w:rPr>
                <w:rFonts w:ascii="Times New Roman" w:hAnsi="Times New Roman"/>
                <w:color w:val="000000"/>
              </w:rPr>
              <w:t xml:space="preserve"> – poprzednika Ministra Klimatu i Środowiska,</w:t>
            </w:r>
            <w:r w:rsidR="00C92463" w:rsidRPr="0050413F">
              <w:rPr>
                <w:rFonts w:ascii="Times New Roman" w:hAnsi="Times New Roman"/>
                <w:color w:val="000000"/>
              </w:rPr>
              <w:t xml:space="preserve"> </w:t>
            </w:r>
            <w:r w:rsidR="00F638E8" w:rsidRPr="0050413F">
              <w:rPr>
                <w:rFonts w:ascii="Times New Roman" w:hAnsi="Times New Roman"/>
                <w:color w:val="000000"/>
              </w:rPr>
              <w:t>w</w:t>
            </w:r>
            <w:r w:rsidR="00F36476" w:rsidRPr="0050413F">
              <w:rPr>
                <w:rFonts w:ascii="Times New Roman" w:hAnsi="Times New Roman"/>
                <w:color w:val="000000"/>
              </w:rPr>
              <w:t> </w:t>
            </w:r>
            <w:r w:rsidR="00F638E8" w:rsidRPr="0050413F">
              <w:rPr>
                <w:rFonts w:ascii="Times New Roman" w:hAnsi="Times New Roman"/>
                <w:color w:val="000000"/>
              </w:rPr>
              <w:t xml:space="preserve">dokumencie „Dziesiątka dla elektromobilności”. Proponowane rozwiązania mają </w:t>
            </w:r>
            <w:r w:rsidR="0085220B" w:rsidRPr="0050413F">
              <w:rPr>
                <w:rFonts w:ascii="Times New Roman" w:hAnsi="Times New Roman"/>
                <w:color w:val="000000"/>
              </w:rPr>
              <w:t xml:space="preserve">ułatwić oraz </w:t>
            </w:r>
            <w:r w:rsidR="00F638E8" w:rsidRPr="0050413F">
              <w:rPr>
                <w:rFonts w:ascii="Times New Roman" w:hAnsi="Times New Roman"/>
                <w:color w:val="000000"/>
              </w:rPr>
              <w:t>przyspieszyć rozwój elektromobilności w Polsce</w:t>
            </w:r>
            <w:r w:rsidR="00A74D80" w:rsidRPr="0050413F">
              <w:rPr>
                <w:rFonts w:ascii="Times New Roman" w:hAnsi="Times New Roman"/>
                <w:color w:val="000000"/>
              </w:rPr>
              <w:t>.</w:t>
            </w:r>
          </w:p>
          <w:p w14:paraId="7AD37B53" w14:textId="77777777" w:rsidR="0085220B" w:rsidRPr="0050413F" w:rsidRDefault="00977E09" w:rsidP="0050413F">
            <w:pPr>
              <w:spacing w:line="240" w:lineRule="auto"/>
              <w:jc w:val="both"/>
              <w:rPr>
                <w:rFonts w:ascii="Times New Roman" w:hAnsi="Times New Roman"/>
                <w:color w:val="000000"/>
              </w:rPr>
            </w:pPr>
            <w:r w:rsidRPr="0050413F">
              <w:rPr>
                <w:rFonts w:ascii="Times New Roman" w:hAnsi="Times New Roman"/>
                <w:color w:val="000000"/>
              </w:rPr>
              <w:t>Rozwiązywane</w:t>
            </w:r>
            <w:r w:rsidR="00AA1F01" w:rsidRPr="0050413F">
              <w:rPr>
                <w:rFonts w:ascii="Times New Roman" w:hAnsi="Times New Roman"/>
                <w:color w:val="000000"/>
              </w:rPr>
              <w:t xml:space="preserve"> główne</w:t>
            </w:r>
            <w:r w:rsidRPr="0050413F">
              <w:rPr>
                <w:rFonts w:ascii="Times New Roman" w:hAnsi="Times New Roman"/>
                <w:color w:val="000000"/>
              </w:rPr>
              <w:t xml:space="preserve"> problemy</w:t>
            </w:r>
            <w:r w:rsidR="0085220B" w:rsidRPr="0050413F">
              <w:rPr>
                <w:rFonts w:ascii="Times New Roman" w:hAnsi="Times New Roman"/>
                <w:color w:val="000000"/>
              </w:rPr>
              <w:t>:</w:t>
            </w:r>
          </w:p>
          <w:p w14:paraId="1E2F1970" w14:textId="77777777" w:rsidR="0085220B" w:rsidRPr="003C4740" w:rsidRDefault="00AA1F01" w:rsidP="003C4740">
            <w:pPr>
              <w:pStyle w:val="Akapitzlist"/>
              <w:numPr>
                <w:ilvl w:val="0"/>
                <w:numId w:val="38"/>
              </w:numPr>
              <w:spacing w:line="240" w:lineRule="auto"/>
              <w:jc w:val="both"/>
              <w:rPr>
                <w:rFonts w:ascii="Times New Roman" w:hAnsi="Times New Roman"/>
                <w:color w:val="000000"/>
              </w:rPr>
            </w:pPr>
            <w:r w:rsidRPr="003C4740">
              <w:rPr>
                <w:rFonts w:ascii="Times New Roman" w:hAnsi="Times New Roman"/>
                <w:color w:val="000000"/>
              </w:rPr>
              <w:t xml:space="preserve">konieczność </w:t>
            </w:r>
            <w:r w:rsidR="00E55332" w:rsidRPr="003C4740">
              <w:rPr>
                <w:rFonts w:ascii="Times New Roman" w:hAnsi="Times New Roman"/>
                <w:color w:val="000000"/>
              </w:rPr>
              <w:t>uelastycznieni</w:t>
            </w:r>
            <w:r w:rsidRPr="003C4740">
              <w:rPr>
                <w:rFonts w:ascii="Times New Roman" w:hAnsi="Times New Roman"/>
                <w:color w:val="000000"/>
              </w:rPr>
              <w:t>a</w:t>
            </w:r>
            <w:r w:rsidR="00977E09" w:rsidRPr="003C4740">
              <w:rPr>
                <w:rFonts w:ascii="Times New Roman" w:hAnsi="Times New Roman"/>
                <w:color w:val="000000"/>
              </w:rPr>
              <w:t xml:space="preserve"> zasad dotyczących wprowad</w:t>
            </w:r>
            <w:r w:rsidR="00E55332" w:rsidRPr="003C4740">
              <w:rPr>
                <w:rFonts w:ascii="Times New Roman" w:hAnsi="Times New Roman"/>
                <w:color w:val="000000"/>
              </w:rPr>
              <w:t>zania stref czystego transportu</w:t>
            </w:r>
            <w:r w:rsidRPr="003C4740">
              <w:rPr>
                <w:rFonts w:ascii="Times New Roman" w:hAnsi="Times New Roman"/>
                <w:color w:val="000000"/>
              </w:rPr>
              <w:t>;</w:t>
            </w:r>
          </w:p>
          <w:p w14:paraId="7724ACF5" w14:textId="3E35F3BB" w:rsidR="001643C9" w:rsidRPr="003C4740" w:rsidRDefault="00AA1F01" w:rsidP="003C4740">
            <w:pPr>
              <w:pStyle w:val="Akapitzlist"/>
              <w:numPr>
                <w:ilvl w:val="0"/>
                <w:numId w:val="38"/>
              </w:numPr>
              <w:spacing w:line="240" w:lineRule="auto"/>
              <w:jc w:val="both"/>
              <w:rPr>
                <w:rFonts w:ascii="Times New Roman" w:hAnsi="Times New Roman"/>
                <w:color w:val="000000"/>
              </w:rPr>
            </w:pPr>
            <w:r w:rsidRPr="003C4740">
              <w:rPr>
                <w:rFonts w:ascii="Times New Roman" w:hAnsi="Times New Roman"/>
                <w:color w:val="000000"/>
              </w:rPr>
              <w:t>trudności w</w:t>
            </w:r>
            <w:r w:rsidR="001643C9" w:rsidRPr="003C4740">
              <w:rPr>
                <w:rFonts w:ascii="Times New Roman" w:hAnsi="Times New Roman"/>
                <w:color w:val="000000"/>
              </w:rPr>
              <w:t xml:space="preserve"> instalacji punktów ładowania w budynkach wielorodzinnych</w:t>
            </w:r>
            <w:r w:rsidRPr="003C4740">
              <w:rPr>
                <w:rFonts w:ascii="Times New Roman" w:hAnsi="Times New Roman"/>
                <w:color w:val="000000"/>
              </w:rPr>
              <w:t>;</w:t>
            </w:r>
          </w:p>
          <w:p w14:paraId="4FA80EEA" w14:textId="2C88D0A0" w:rsidR="00AD69CA" w:rsidRPr="003C4740" w:rsidRDefault="00AD69CA" w:rsidP="003C4740">
            <w:pPr>
              <w:pStyle w:val="Akapitzlist"/>
              <w:numPr>
                <w:ilvl w:val="0"/>
                <w:numId w:val="38"/>
              </w:numPr>
              <w:spacing w:line="240" w:lineRule="auto"/>
              <w:jc w:val="both"/>
              <w:rPr>
                <w:rFonts w:ascii="Times New Roman" w:hAnsi="Times New Roman"/>
                <w:color w:val="000000"/>
              </w:rPr>
            </w:pPr>
            <w:r w:rsidRPr="003C4740">
              <w:rPr>
                <w:rFonts w:ascii="Times New Roman" w:hAnsi="Times New Roman"/>
                <w:color w:val="000000"/>
              </w:rPr>
              <w:t xml:space="preserve">zbyt </w:t>
            </w:r>
            <w:r w:rsidR="00AA1F01" w:rsidRPr="003C4740">
              <w:rPr>
                <w:rFonts w:ascii="Times New Roman" w:hAnsi="Times New Roman"/>
                <w:color w:val="000000"/>
              </w:rPr>
              <w:t xml:space="preserve">wąski zakres </w:t>
            </w:r>
            <w:r w:rsidRPr="003C4740">
              <w:rPr>
                <w:rFonts w:ascii="Times New Roman" w:hAnsi="Times New Roman"/>
                <w:color w:val="000000"/>
              </w:rPr>
              <w:t>uprawnie</w:t>
            </w:r>
            <w:r w:rsidR="00AA1F01" w:rsidRPr="003C4740">
              <w:rPr>
                <w:rFonts w:ascii="Times New Roman" w:hAnsi="Times New Roman"/>
                <w:color w:val="000000"/>
              </w:rPr>
              <w:t>ń</w:t>
            </w:r>
            <w:r w:rsidRPr="003C4740">
              <w:rPr>
                <w:rFonts w:ascii="Times New Roman" w:hAnsi="Times New Roman"/>
                <w:color w:val="000000"/>
              </w:rPr>
              <w:t xml:space="preserve"> kontrol</w:t>
            </w:r>
            <w:r w:rsidR="00AA1F01" w:rsidRPr="003C4740">
              <w:rPr>
                <w:rFonts w:ascii="Times New Roman" w:hAnsi="Times New Roman"/>
                <w:color w:val="000000"/>
              </w:rPr>
              <w:t>nych</w:t>
            </w:r>
            <w:r w:rsidRPr="003C4740">
              <w:rPr>
                <w:rFonts w:ascii="Times New Roman" w:hAnsi="Times New Roman"/>
                <w:color w:val="000000"/>
              </w:rPr>
              <w:t xml:space="preserve"> inspektorów U</w:t>
            </w:r>
            <w:r w:rsidR="00432119" w:rsidRPr="003C4740">
              <w:rPr>
                <w:rFonts w:ascii="Times New Roman" w:hAnsi="Times New Roman"/>
                <w:color w:val="000000"/>
              </w:rPr>
              <w:t xml:space="preserve">rzędu </w:t>
            </w:r>
            <w:r w:rsidRPr="003C4740">
              <w:rPr>
                <w:rFonts w:ascii="Times New Roman" w:hAnsi="Times New Roman"/>
                <w:color w:val="000000"/>
              </w:rPr>
              <w:t>D</w:t>
            </w:r>
            <w:r w:rsidR="00432119" w:rsidRPr="003C4740">
              <w:rPr>
                <w:rFonts w:ascii="Times New Roman" w:hAnsi="Times New Roman"/>
                <w:color w:val="000000"/>
              </w:rPr>
              <w:t xml:space="preserve">ozoru </w:t>
            </w:r>
            <w:r w:rsidRPr="003C4740">
              <w:rPr>
                <w:rFonts w:ascii="Times New Roman" w:hAnsi="Times New Roman"/>
                <w:color w:val="000000"/>
              </w:rPr>
              <w:t>T</w:t>
            </w:r>
            <w:r w:rsidR="00432119" w:rsidRPr="003C4740">
              <w:rPr>
                <w:rFonts w:ascii="Times New Roman" w:hAnsi="Times New Roman"/>
                <w:color w:val="000000"/>
              </w:rPr>
              <w:t>echnicznego (UDT)</w:t>
            </w:r>
            <w:r w:rsidR="00234A7E" w:rsidRPr="003C4740">
              <w:rPr>
                <w:rFonts w:ascii="Times New Roman" w:hAnsi="Times New Roman"/>
                <w:color w:val="000000"/>
              </w:rPr>
              <w:t xml:space="preserve"> oraz </w:t>
            </w:r>
            <w:r w:rsidR="00A23D3E" w:rsidRPr="003C4740">
              <w:rPr>
                <w:rFonts w:ascii="Times New Roman" w:hAnsi="Times New Roman"/>
                <w:color w:val="000000"/>
              </w:rPr>
              <w:t>rozszerzanie</w:t>
            </w:r>
            <w:r w:rsidR="00234A7E" w:rsidRPr="003C4740">
              <w:rPr>
                <w:rFonts w:ascii="Times New Roman" w:hAnsi="Times New Roman"/>
                <w:color w:val="000000"/>
              </w:rPr>
              <w:t xml:space="preserve"> uprawnień Transportowego Dozoru </w:t>
            </w:r>
            <w:r w:rsidR="00A23D3E" w:rsidRPr="003C4740">
              <w:rPr>
                <w:rFonts w:ascii="Times New Roman" w:hAnsi="Times New Roman"/>
                <w:color w:val="000000"/>
              </w:rPr>
              <w:t>T</w:t>
            </w:r>
            <w:r w:rsidR="00234A7E" w:rsidRPr="003C4740">
              <w:rPr>
                <w:rFonts w:ascii="Times New Roman" w:hAnsi="Times New Roman"/>
                <w:color w:val="000000"/>
              </w:rPr>
              <w:t>echnicznego</w:t>
            </w:r>
            <w:r w:rsidR="00724A28">
              <w:rPr>
                <w:rFonts w:ascii="Times New Roman" w:hAnsi="Times New Roman"/>
                <w:color w:val="000000"/>
              </w:rPr>
              <w:t xml:space="preserve"> (TDT)</w:t>
            </w:r>
            <w:r w:rsidR="00AA1F01" w:rsidRPr="003C4740">
              <w:rPr>
                <w:rFonts w:ascii="Times New Roman" w:hAnsi="Times New Roman"/>
                <w:color w:val="000000"/>
              </w:rPr>
              <w:t>;</w:t>
            </w:r>
          </w:p>
          <w:p w14:paraId="7D510A82" w14:textId="77777777" w:rsidR="00940341" w:rsidRPr="003C4740" w:rsidRDefault="00682D89" w:rsidP="003C4740">
            <w:pPr>
              <w:pStyle w:val="Akapitzlist"/>
              <w:numPr>
                <w:ilvl w:val="0"/>
                <w:numId w:val="38"/>
              </w:numPr>
              <w:spacing w:line="240" w:lineRule="auto"/>
              <w:jc w:val="both"/>
              <w:rPr>
                <w:rFonts w:ascii="Times New Roman" w:hAnsi="Times New Roman"/>
                <w:color w:val="000000"/>
              </w:rPr>
            </w:pPr>
            <w:r w:rsidRPr="003C4740">
              <w:rPr>
                <w:rFonts w:ascii="Times New Roman" w:hAnsi="Times New Roman"/>
                <w:color w:val="000000"/>
              </w:rPr>
              <w:t xml:space="preserve">brak regulacji w zakresie </w:t>
            </w:r>
            <w:r w:rsidR="00940341" w:rsidRPr="003C4740">
              <w:rPr>
                <w:rFonts w:ascii="Times New Roman" w:hAnsi="Times New Roman"/>
                <w:color w:val="000000"/>
              </w:rPr>
              <w:t>wydawani</w:t>
            </w:r>
            <w:r w:rsidRPr="003C4740">
              <w:rPr>
                <w:rFonts w:ascii="Times New Roman" w:hAnsi="Times New Roman"/>
                <w:color w:val="000000"/>
              </w:rPr>
              <w:t>a</w:t>
            </w:r>
            <w:r w:rsidR="00940341" w:rsidRPr="003C4740">
              <w:rPr>
                <w:rFonts w:ascii="Times New Roman" w:hAnsi="Times New Roman"/>
                <w:color w:val="000000"/>
              </w:rPr>
              <w:t xml:space="preserve"> kodów identyfikacyjnych dla podmiotów</w:t>
            </w:r>
            <w:r w:rsidR="00432119" w:rsidRPr="003C4740">
              <w:rPr>
                <w:rFonts w:ascii="Times New Roman" w:hAnsi="Times New Roman"/>
                <w:color w:val="000000"/>
              </w:rPr>
              <w:t xml:space="preserve"> z obszaru</w:t>
            </w:r>
            <w:r w:rsidR="00940341" w:rsidRPr="003C4740">
              <w:rPr>
                <w:rFonts w:ascii="Times New Roman" w:hAnsi="Times New Roman"/>
                <w:color w:val="000000"/>
              </w:rPr>
              <w:t xml:space="preserve"> e-mobilności</w:t>
            </w:r>
            <w:r w:rsidR="005F2FB9" w:rsidRPr="003C4740">
              <w:rPr>
                <w:rFonts w:ascii="Times New Roman" w:hAnsi="Times New Roman"/>
                <w:color w:val="000000"/>
              </w:rPr>
              <w:t xml:space="preserve"> oraz ułatwień w zakresie korzystania ze stacji ładowania</w:t>
            </w:r>
            <w:r w:rsidRPr="003C4740">
              <w:rPr>
                <w:rFonts w:ascii="Times New Roman" w:hAnsi="Times New Roman"/>
                <w:color w:val="000000"/>
              </w:rPr>
              <w:t>. Celem nadawania kodów identyfikacyjnych jest stworzenie możliwości sprawdzenia w każdym momencie statusu danej stacji ładowania w Ewidencji Infrastruktury Paliw Alternatywnych</w:t>
            </w:r>
            <w:r w:rsidR="00432119" w:rsidRPr="003C4740">
              <w:rPr>
                <w:rFonts w:ascii="Times New Roman" w:hAnsi="Times New Roman"/>
                <w:color w:val="000000"/>
              </w:rPr>
              <w:t>;</w:t>
            </w:r>
            <w:r w:rsidRPr="003C4740">
              <w:rPr>
                <w:rFonts w:ascii="Times New Roman" w:hAnsi="Times New Roman"/>
                <w:color w:val="000000"/>
              </w:rPr>
              <w:t xml:space="preserve"> </w:t>
            </w:r>
          </w:p>
          <w:p w14:paraId="7870C838" w14:textId="0AE40D46" w:rsidR="00AA1F01" w:rsidRPr="003C4740" w:rsidRDefault="00956AA1" w:rsidP="003C4740">
            <w:pPr>
              <w:pStyle w:val="Akapitzlist"/>
              <w:numPr>
                <w:ilvl w:val="0"/>
                <w:numId w:val="38"/>
              </w:numPr>
              <w:spacing w:line="240" w:lineRule="auto"/>
              <w:jc w:val="both"/>
              <w:rPr>
                <w:rFonts w:ascii="Times New Roman" w:hAnsi="Times New Roman"/>
                <w:color w:val="000000"/>
              </w:rPr>
            </w:pPr>
            <w:r w:rsidRPr="003C4740">
              <w:rPr>
                <w:rFonts w:ascii="Times New Roman" w:hAnsi="Times New Roman"/>
                <w:color w:val="000000"/>
              </w:rPr>
              <w:t xml:space="preserve">brak kompleksowej regulacji w zakresie amortyzacji </w:t>
            </w:r>
            <w:r w:rsidR="002E5FFA" w:rsidRPr="003C4740">
              <w:rPr>
                <w:rFonts w:ascii="Times New Roman" w:hAnsi="Times New Roman"/>
                <w:color w:val="000000"/>
              </w:rPr>
              <w:t>pojazdów niskoemisyjnych;</w:t>
            </w:r>
          </w:p>
          <w:p w14:paraId="19BE11DE" w14:textId="024C107B" w:rsidR="007C3452" w:rsidRPr="003C4740" w:rsidRDefault="007C3452" w:rsidP="003C4740">
            <w:pPr>
              <w:pStyle w:val="Akapitzlist"/>
              <w:numPr>
                <w:ilvl w:val="0"/>
                <w:numId w:val="38"/>
              </w:numPr>
              <w:spacing w:line="240" w:lineRule="auto"/>
              <w:jc w:val="both"/>
              <w:rPr>
                <w:rFonts w:ascii="Times New Roman" w:hAnsi="Times New Roman"/>
              </w:rPr>
            </w:pPr>
            <w:r w:rsidRPr="003C4740">
              <w:rPr>
                <w:rFonts w:ascii="Times New Roman" w:hAnsi="Times New Roman"/>
              </w:rPr>
              <w:t xml:space="preserve">brak regulacji związanych </w:t>
            </w:r>
            <w:r w:rsidR="005F2FB9" w:rsidRPr="003C4740">
              <w:rPr>
                <w:rFonts w:ascii="Times New Roman" w:hAnsi="Times New Roman"/>
              </w:rPr>
              <w:t>z rozwojem infrastruktury tankowania wodorem</w:t>
            </w:r>
            <w:r w:rsidR="00432119" w:rsidRPr="003C4740">
              <w:rPr>
                <w:rFonts w:ascii="Times New Roman" w:hAnsi="Times New Roman"/>
              </w:rPr>
              <w:t>;</w:t>
            </w:r>
          </w:p>
          <w:p w14:paraId="2BC03F80" w14:textId="6180D8FE" w:rsidR="002E5FFA" w:rsidRPr="003C4740" w:rsidRDefault="00AA1F01" w:rsidP="003C4740">
            <w:pPr>
              <w:pStyle w:val="Akapitzlist"/>
              <w:numPr>
                <w:ilvl w:val="0"/>
                <w:numId w:val="38"/>
              </w:numPr>
              <w:spacing w:line="240" w:lineRule="auto"/>
              <w:jc w:val="both"/>
              <w:rPr>
                <w:rFonts w:ascii="Times New Roman" w:hAnsi="Times New Roman"/>
              </w:rPr>
            </w:pPr>
            <w:r w:rsidRPr="003C4740">
              <w:rPr>
                <w:rFonts w:ascii="Times New Roman" w:hAnsi="Times New Roman"/>
              </w:rPr>
              <w:t xml:space="preserve">konieczność wdrożenia przepisów </w:t>
            </w:r>
            <w:r w:rsidR="00656825" w:rsidRPr="003C4740">
              <w:rPr>
                <w:rFonts w:ascii="Times New Roman" w:hAnsi="Times New Roman"/>
              </w:rPr>
              <w:t>niżej wskazanych</w:t>
            </w:r>
            <w:r w:rsidR="0033397C" w:rsidRPr="003C4740">
              <w:rPr>
                <w:rFonts w:ascii="Times New Roman" w:hAnsi="Times New Roman"/>
              </w:rPr>
              <w:t xml:space="preserve"> dyrektyw</w:t>
            </w:r>
            <w:r w:rsidR="008C2523">
              <w:rPr>
                <w:rFonts w:ascii="Times New Roman" w:hAnsi="Times New Roman"/>
              </w:rPr>
              <w:t>.</w:t>
            </w:r>
            <w:r w:rsidRPr="003C4740">
              <w:rPr>
                <w:rFonts w:ascii="Times New Roman" w:hAnsi="Times New Roman"/>
              </w:rPr>
              <w:t xml:space="preserve"> </w:t>
            </w:r>
          </w:p>
          <w:p w14:paraId="753A6118" w14:textId="058CC345" w:rsidR="00234A7E" w:rsidRDefault="00AA1F01" w:rsidP="0050413F">
            <w:pPr>
              <w:spacing w:line="240" w:lineRule="auto"/>
              <w:ind w:left="-42"/>
              <w:jc w:val="both"/>
              <w:rPr>
                <w:rFonts w:ascii="Times New Roman" w:hAnsi="Times New Roman"/>
                <w:color w:val="000000"/>
              </w:rPr>
            </w:pPr>
            <w:r w:rsidRPr="0050413F">
              <w:rPr>
                <w:rFonts w:ascii="Times New Roman" w:hAnsi="Times New Roman"/>
                <w:color w:val="000000"/>
              </w:rPr>
              <w:t>2</w:t>
            </w:r>
            <w:r w:rsidR="008D57F3" w:rsidRPr="0050413F">
              <w:rPr>
                <w:rFonts w:ascii="Times New Roman" w:hAnsi="Times New Roman"/>
                <w:color w:val="000000"/>
              </w:rPr>
              <w:t>.</w:t>
            </w:r>
            <w:r w:rsidR="00234A7E">
              <w:rPr>
                <w:rFonts w:ascii="Times New Roman" w:hAnsi="Times New Roman"/>
                <w:color w:val="000000"/>
              </w:rPr>
              <w:t xml:space="preserve"> </w:t>
            </w:r>
            <w:r w:rsidR="00724A28">
              <w:rPr>
                <w:rFonts w:ascii="Times New Roman" w:hAnsi="Times New Roman"/>
                <w:color w:val="000000"/>
              </w:rPr>
              <w:t>Projekt w zakresie swojej regulacji wdraża przepisy następujących dyrektyw:</w:t>
            </w:r>
            <w:r w:rsidR="00234A7E">
              <w:rPr>
                <w:rFonts w:ascii="Times New Roman" w:hAnsi="Times New Roman"/>
                <w:color w:val="000000"/>
              </w:rPr>
              <w:t xml:space="preserve"> </w:t>
            </w:r>
            <w:r w:rsidR="008D57F3" w:rsidRPr="0050413F">
              <w:rPr>
                <w:rFonts w:ascii="Times New Roman" w:hAnsi="Times New Roman"/>
                <w:color w:val="000000"/>
              </w:rPr>
              <w:t xml:space="preserve"> </w:t>
            </w:r>
          </w:p>
          <w:p w14:paraId="7ECBEC82" w14:textId="579F7111" w:rsidR="008D57F3" w:rsidRPr="00BA1463" w:rsidRDefault="008D57F3" w:rsidP="00BA1463">
            <w:pPr>
              <w:pStyle w:val="Akapitzlist"/>
              <w:numPr>
                <w:ilvl w:val="0"/>
                <w:numId w:val="40"/>
              </w:numPr>
              <w:spacing w:line="240" w:lineRule="auto"/>
              <w:ind w:left="347"/>
              <w:jc w:val="both"/>
              <w:rPr>
                <w:rFonts w:ascii="Times New Roman" w:hAnsi="Times New Roman"/>
                <w:color w:val="000000"/>
              </w:rPr>
            </w:pPr>
            <w:r w:rsidRPr="00BA1463">
              <w:rPr>
                <w:rFonts w:ascii="Times New Roman" w:hAnsi="Times New Roman"/>
                <w:color w:val="000000"/>
              </w:rPr>
              <w:t>dyrektywy Parlamentu Europejskiego i Rady (UE) 2019/1161 z dnia 20 czerwca 2019 r. zmieniającej dyrektywę 2009/33/WE w sprawie promowania ekologicznie czystych i energooszczędnych pojazdów transportu drogowego (dalej: Dyrektywa 2019/1161/UE)</w:t>
            </w:r>
            <w:r w:rsidR="00724A28" w:rsidRPr="00BA1463">
              <w:rPr>
                <w:rFonts w:ascii="Times New Roman" w:hAnsi="Times New Roman"/>
                <w:color w:val="000000"/>
              </w:rPr>
              <w:t>. Przepisy przedmiotowej dyrektywy</w:t>
            </w:r>
            <w:r w:rsidRPr="00BA1463">
              <w:rPr>
                <w:rFonts w:ascii="Times New Roman" w:hAnsi="Times New Roman"/>
                <w:color w:val="000000"/>
              </w:rPr>
              <w:t xml:space="preserve"> nakładają na państwa członkowskie obowiązek ustanowienia minimalnych poziomów docelowych w zakresie udziału ekologicznie czystych pojazdów w całkowitej liczbie pojazdów objętych zamówieniami, które mają zostać osiągnięte w dwóch okresach odniesienia kończących się w 2025 r. i w 2030 r.</w:t>
            </w:r>
          </w:p>
          <w:p w14:paraId="703D3C99" w14:textId="24CB6866" w:rsidR="008D57F3" w:rsidRPr="00BA1463" w:rsidRDefault="008D57F3" w:rsidP="00BA1463">
            <w:pPr>
              <w:pStyle w:val="Akapitzlist"/>
              <w:spacing w:line="240" w:lineRule="auto"/>
              <w:ind w:left="347"/>
              <w:jc w:val="both"/>
              <w:rPr>
                <w:rFonts w:ascii="Times New Roman" w:hAnsi="Times New Roman"/>
                <w:color w:val="000000"/>
              </w:rPr>
            </w:pPr>
            <w:r w:rsidRPr="00BA1463">
              <w:rPr>
                <w:rFonts w:ascii="Times New Roman" w:hAnsi="Times New Roman"/>
                <w:color w:val="000000"/>
              </w:rPr>
              <w:t>Zakresem niniejszej dyrektywy objęte zostały zamówienia</w:t>
            </w:r>
            <w:r w:rsidR="00432119" w:rsidRPr="00BA1463">
              <w:rPr>
                <w:rFonts w:ascii="Times New Roman" w:hAnsi="Times New Roman"/>
                <w:color w:val="000000"/>
              </w:rPr>
              <w:t xml:space="preserve"> w zakresie</w:t>
            </w:r>
            <w:r w:rsidRPr="00BA1463">
              <w:rPr>
                <w:rFonts w:ascii="Times New Roman" w:hAnsi="Times New Roman"/>
                <w:color w:val="000000"/>
              </w:rPr>
              <w:t xml:space="preserve"> kup</w:t>
            </w:r>
            <w:r w:rsidR="00432119" w:rsidRPr="00BA1463">
              <w:rPr>
                <w:rFonts w:ascii="Times New Roman" w:hAnsi="Times New Roman"/>
                <w:color w:val="000000"/>
              </w:rPr>
              <w:t>na</w:t>
            </w:r>
            <w:r w:rsidRPr="00BA1463">
              <w:rPr>
                <w:rFonts w:ascii="Times New Roman" w:hAnsi="Times New Roman"/>
                <w:color w:val="000000"/>
              </w:rPr>
              <w:t>, leasingu, najmu lub dzierżawy z opcją zakupu pojazdów samochodowych oraz świadczenia usług w zakresie publicznego transportu drogowego, specjalistycznego transportu drogowego osób, nieregularnego transportu osób, transportu i doręczania przesyłek pocztowych lub paczek oraz wywozu odpadów, o ile zamawiający mają obowiązek stosowania procedur udzielania zamówień  publicznych określonych w dyrektywach Parlamentu Europejskiego i Rady 2014/24/UE i 2014/25//UE. Dyrektywa obejmuje swoim zakresem</w:t>
            </w:r>
            <w:r w:rsidR="00724A28" w:rsidRPr="00BA1463">
              <w:rPr>
                <w:rFonts w:ascii="Times New Roman" w:hAnsi="Times New Roman"/>
                <w:color w:val="000000"/>
              </w:rPr>
              <w:t xml:space="preserve"> także</w:t>
            </w:r>
            <w:r w:rsidRPr="00BA1463">
              <w:rPr>
                <w:rFonts w:ascii="Times New Roman" w:hAnsi="Times New Roman"/>
                <w:color w:val="000000"/>
              </w:rPr>
              <w:t xml:space="preserve"> zamówienia dot. świadczenia usług w zakresie drogowego publicznego transportu zbiorowego o wartości nieprzekraczającej wartości progowej określonej w art. 5 ust. 4 rozporządzenia (WE) nr</w:t>
            </w:r>
            <w:r w:rsidR="005D356E" w:rsidRPr="00BA1463">
              <w:rPr>
                <w:rFonts w:ascii="Times New Roman" w:hAnsi="Times New Roman"/>
                <w:color w:val="000000"/>
              </w:rPr>
              <w:t> </w:t>
            </w:r>
            <w:r w:rsidRPr="00BA1463">
              <w:rPr>
                <w:rFonts w:ascii="Times New Roman" w:hAnsi="Times New Roman"/>
                <w:color w:val="000000"/>
              </w:rPr>
              <w:t>1370/2007.</w:t>
            </w:r>
          </w:p>
          <w:p w14:paraId="1D83CDE0" w14:textId="520E6FA6" w:rsidR="006A701A" w:rsidRDefault="00724A28" w:rsidP="00BA1463">
            <w:pPr>
              <w:pStyle w:val="ARTartustawynprozporzdzenia"/>
              <w:numPr>
                <w:ilvl w:val="0"/>
                <w:numId w:val="40"/>
              </w:numPr>
              <w:spacing w:before="0" w:line="240" w:lineRule="auto"/>
              <w:ind w:left="347"/>
              <w:rPr>
                <w:rFonts w:ascii="Times New Roman" w:hAnsi="Times New Roman" w:cs="Times New Roman"/>
                <w:sz w:val="22"/>
                <w:szCs w:val="22"/>
              </w:rPr>
            </w:pPr>
            <w:r>
              <w:rPr>
                <w:rFonts w:ascii="Times New Roman" w:hAnsi="Times New Roman" w:cs="Times New Roman"/>
                <w:sz w:val="22"/>
                <w:szCs w:val="22"/>
              </w:rPr>
              <w:t>d</w:t>
            </w:r>
            <w:r w:rsidRPr="0050413F">
              <w:rPr>
                <w:rFonts w:ascii="Times New Roman" w:hAnsi="Times New Roman" w:cs="Times New Roman"/>
                <w:sz w:val="22"/>
                <w:szCs w:val="22"/>
              </w:rPr>
              <w:t>yrektyw</w:t>
            </w:r>
            <w:r>
              <w:rPr>
                <w:rFonts w:ascii="Times New Roman" w:hAnsi="Times New Roman" w:cs="Times New Roman"/>
                <w:sz w:val="22"/>
                <w:szCs w:val="22"/>
              </w:rPr>
              <w:t>y</w:t>
            </w:r>
            <w:r w:rsidRPr="0050413F">
              <w:rPr>
                <w:rFonts w:ascii="Times New Roman" w:hAnsi="Times New Roman" w:cs="Times New Roman"/>
                <w:sz w:val="22"/>
                <w:szCs w:val="22"/>
              </w:rPr>
              <w:t xml:space="preserve"> </w:t>
            </w:r>
            <w:r w:rsidR="007C3452" w:rsidRPr="0050413F">
              <w:rPr>
                <w:rFonts w:ascii="Times New Roman" w:hAnsi="Times New Roman" w:cs="Times New Roman"/>
                <w:sz w:val="22"/>
                <w:szCs w:val="22"/>
              </w:rPr>
              <w:t>2019/944 UE Parlamentu Europejskiego i Rady (UE) w sprawie wspólnych zasad rynku wewnętrznego energii elektrycznej</w:t>
            </w:r>
            <w:r w:rsidR="00432119" w:rsidRPr="0050413F">
              <w:rPr>
                <w:rFonts w:ascii="Times New Roman" w:hAnsi="Times New Roman" w:cs="Times New Roman"/>
                <w:sz w:val="22"/>
                <w:szCs w:val="22"/>
              </w:rPr>
              <w:t xml:space="preserve"> (dalej: Dyrektywa 2019/944)</w:t>
            </w:r>
            <w:r>
              <w:rPr>
                <w:rFonts w:ascii="Times New Roman" w:hAnsi="Times New Roman" w:cs="Times New Roman"/>
                <w:sz w:val="22"/>
                <w:szCs w:val="22"/>
              </w:rPr>
              <w:t>. Dyrektywa ta</w:t>
            </w:r>
            <w:r w:rsidR="007C3452" w:rsidRPr="0050413F">
              <w:rPr>
                <w:rFonts w:ascii="Times New Roman" w:hAnsi="Times New Roman" w:cs="Times New Roman"/>
                <w:sz w:val="22"/>
                <w:szCs w:val="22"/>
              </w:rPr>
              <w:t xml:space="preserve"> ustanawia zasady dotyczące wytwarzania, przesyłu, dystrybucji, magazynowania energii i dostaw energii elektrycznej, wraz z przepisami dotyczącymi ochrony konsumentów, w celu stworzenia zintegrowanych, konkurencyjnych, elastycznych i przejrzystych rynków energii elektrycznej. Niniejsza dyrektywa dąży do zapewnienia wysokiego stopnia bezpieczeństwa dostaw i sprawnego przejścia na zrównoważony, niskoemisyjny system energetyczny. Ustanawia ona kluczowe zasady dotyczące organizacji i funkcjonowania sektora elektroenergetycznego</w:t>
            </w:r>
            <w:r>
              <w:rPr>
                <w:rFonts w:ascii="Times New Roman" w:hAnsi="Times New Roman" w:cs="Times New Roman"/>
                <w:sz w:val="22"/>
                <w:szCs w:val="22"/>
              </w:rPr>
              <w:t>,</w:t>
            </w:r>
            <w:r w:rsidR="007C3452" w:rsidRPr="0050413F">
              <w:rPr>
                <w:rFonts w:ascii="Times New Roman" w:hAnsi="Times New Roman" w:cs="Times New Roman"/>
                <w:sz w:val="22"/>
                <w:szCs w:val="22"/>
              </w:rPr>
              <w:t xml:space="preserve"> m.in. otwartego dostępu do zintegrowanego rynku, dostępu stron trzecich do infrastruktury przesyłowej i dystrybucyjnej. Dyrektywa określa także warunki</w:t>
            </w:r>
            <w:r w:rsidR="00494F4B">
              <w:rPr>
                <w:rFonts w:ascii="Times New Roman" w:hAnsi="Times New Roman" w:cs="Times New Roman"/>
                <w:sz w:val="22"/>
                <w:szCs w:val="22"/>
              </w:rPr>
              <w:t xml:space="preserve">, na jakich, w drodze wyjątku, który może wprowadzić państwo członkowskie, </w:t>
            </w:r>
            <w:r>
              <w:rPr>
                <w:rFonts w:ascii="Times New Roman" w:hAnsi="Times New Roman" w:cs="Times New Roman"/>
                <w:sz w:val="22"/>
                <w:szCs w:val="22"/>
              </w:rPr>
              <w:t>o</w:t>
            </w:r>
            <w:r w:rsidR="00494F4B">
              <w:rPr>
                <w:rFonts w:ascii="Times New Roman" w:hAnsi="Times New Roman" w:cs="Times New Roman"/>
                <w:sz w:val="22"/>
                <w:szCs w:val="22"/>
              </w:rPr>
              <w:t>perator</w:t>
            </w:r>
            <w:r w:rsidRPr="0050413F">
              <w:rPr>
                <w:rFonts w:ascii="Times New Roman" w:hAnsi="Times New Roman" w:cs="Times New Roman"/>
                <w:sz w:val="22"/>
                <w:szCs w:val="22"/>
              </w:rPr>
              <w:t xml:space="preserve"> </w:t>
            </w:r>
            <w:r>
              <w:rPr>
                <w:rFonts w:ascii="Times New Roman" w:hAnsi="Times New Roman" w:cs="Times New Roman"/>
                <w:sz w:val="22"/>
                <w:szCs w:val="22"/>
              </w:rPr>
              <w:t>s</w:t>
            </w:r>
            <w:r w:rsidRPr="0050413F">
              <w:rPr>
                <w:rFonts w:ascii="Times New Roman" w:hAnsi="Times New Roman" w:cs="Times New Roman"/>
                <w:sz w:val="22"/>
                <w:szCs w:val="22"/>
              </w:rPr>
              <w:t xml:space="preserve">ystemu </w:t>
            </w:r>
            <w:r>
              <w:rPr>
                <w:rFonts w:ascii="Times New Roman" w:hAnsi="Times New Roman" w:cs="Times New Roman"/>
                <w:sz w:val="22"/>
                <w:szCs w:val="22"/>
              </w:rPr>
              <w:t>d</w:t>
            </w:r>
            <w:r w:rsidRPr="0050413F">
              <w:rPr>
                <w:rFonts w:ascii="Times New Roman" w:hAnsi="Times New Roman" w:cs="Times New Roman"/>
                <w:sz w:val="22"/>
                <w:szCs w:val="22"/>
              </w:rPr>
              <w:t>ystrybuc</w:t>
            </w:r>
            <w:r>
              <w:rPr>
                <w:rFonts w:ascii="Times New Roman" w:hAnsi="Times New Roman" w:cs="Times New Roman"/>
                <w:sz w:val="22"/>
                <w:szCs w:val="22"/>
              </w:rPr>
              <w:t>yjnego elektroenergetycznego</w:t>
            </w:r>
            <w:r w:rsidR="00494F4B">
              <w:rPr>
                <w:rFonts w:ascii="Times New Roman" w:hAnsi="Times New Roman" w:cs="Times New Roman"/>
                <w:sz w:val="22"/>
                <w:szCs w:val="22"/>
              </w:rPr>
              <w:t xml:space="preserve"> może być właścicielem</w:t>
            </w:r>
            <w:r w:rsidRPr="0050413F">
              <w:rPr>
                <w:rFonts w:ascii="Times New Roman" w:hAnsi="Times New Roman" w:cs="Times New Roman"/>
                <w:sz w:val="22"/>
                <w:szCs w:val="22"/>
              </w:rPr>
              <w:t xml:space="preserve"> </w:t>
            </w:r>
            <w:r w:rsidR="007C3452" w:rsidRPr="0050413F">
              <w:rPr>
                <w:rFonts w:ascii="Times New Roman" w:hAnsi="Times New Roman" w:cs="Times New Roman"/>
                <w:sz w:val="22"/>
                <w:szCs w:val="22"/>
              </w:rPr>
              <w:t>stacji ładowania pojazdów</w:t>
            </w:r>
            <w:r w:rsidR="00494F4B">
              <w:rPr>
                <w:rFonts w:ascii="Times New Roman" w:hAnsi="Times New Roman" w:cs="Times New Roman"/>
                <w:sz w:val="22"/>
                <w:szCs w:val="22"/>
              </w:rPr>
              <w:t xml:space="preserve"> oraz prowadzić działalność obejmując</w:t>
            </w:r>
            <w:r w:rsidR="00DC5129">
              <w:rPr>
                <w:rFonts w:ascii="Times New Roman" w:hAnsi="Times New Roman" w:cs="Times New Roman"/>
                <w:sz w:val="22"/>
                <w:szCs w:val="22"/>
              </w:rPr>
              <w:t>ą</w:t>
            </w:r>
            <w:r w:rsidR="00494F4B">
              <w:rPr>
                <w:rFonts w:ascii="Times New Roman" w:hAnsi="Times New Roman" w:cs="Times New Roman"/>
                <w:sz w:val="22"/>
                <w:szCs w:val="22"/>
              </w:rPr>
              <w:t xml:space="preserve"> takie stacje</w:t>
            </w:r>
            <w:r w:rsidR="0050413F">
              <w:rPr>
                <w:rFonts w:ascii="Times New Roman" w:hAnsi="Times New Roman" w:cs="Times New Roman"/>
                <w:sz w:val="22"/>
                <w:szCs w:val="22"/>
              </w:rPr>
              <w:t>.</w:t>
            </w:r>
            <w:r w:rsidR="00494F4B">
              <w:rPr>
                <w:rFonts w:ascii="Times New Roman" w:hAnsi="Times New Roman" w:cs="Times New Roman"/>
                <w:sz w:val="22"/>
                <w:szCs w:val="22"/>
              </w:rPr>
              <w:t xml:space="preserve"> </w:t>
            </w:r>
          </w:p>
          <w:p w14:paraId="15EBBEB0" w14:textId="7E631C91" w:rsidR="00EB75DD" w:rsidRPr="0050413F" w:rsidRDefault="00EB75DD" w:rsidP="00BA1463">
            <w:pPr>
              <w:pStyle w:val="Akapitzlist"/>
              <w:numPr>
                <w:ilvl w:val="0"/>
                <w:numId w:val="40"/>
              </w:numPr>
              <w:spacing w:line="240" w:lineRule="auto"/>
              <w:ind w:left="347"/>
              <w:jc w:val="both"/>
            </w:pPr>
            <w:r w:rsidRPr="00BA1463">
              <w:rPr>
                <w:rFonts w:ascii="Times New Roman" w:hAnsi="Times New Roman"/>
                <w:color w:val="000000"/>
              </w:rPr>
              <w:t xml:space="preserve">dyrektywy </w:t>
            </w:r>
            <w:r w:rsidR="00494F4B" w:rsidRPr="00BA1463">
              <w:rPr>
                <w:rFonts w:ascii="Times New Roman" w:hAnsi="Times New Roman"/>
                <w:color w:val="000000"/>
              </w:rPr>
              <w:t xml:space="preserve">Parlamentu Europejskiego i Rady (UE) 2018/844 z dnia 30 maja 2018 r. zmieniająca dyrektywę 2010/31/UE w sprawie charakterystyki energetycznej budynków i dyrektywę 2012/27/UE w sprawie efektywności </w:t>
            </w:r>
            <w:r w:rsidR="00494F4B" w:rsidRPr="00BA1463">
              <w:rPr>
                <w:rFonts w:ascii="Times New Roman" w:hAnsi="Times New Roman"/>
                <w:color w:val="000000"/>
              </w:rPr>
              <w:lastRenderedPageBreak/>
              <w:t>energetycznej</w:t>
            </w:r>
            <w:r w:rsidR="00900327" w:rsidRPr="00BA1463">
              <w:rPr>
                <w:rFonts w:ascii="Times New Roman" w:hAnsi="Times New Roman"/>
                <w:color w:val="000000"/>
              </w:rPr>
              <w:t xml:space="preserve"> (dalej: Dyrektywa 2018/844)</w:t>
            </w:r>
            <w:r w:rsidR="00494F4B" w:rsidRPr="00BA1463">
              <w:rPr>
                <w:rFonts w:ascii="Times New Roman" w:hAnsi="Times New Roman"/>
                <w:color w:val="000000"/>
              </w:rPr>
              <w:t xml:space="preserve">. Przepisy przedmiotowej dyrektywy </w:t>
            </w:r>
            <w:r w:rsidRPr="00BA1463">
              <w:rPr>
                <w:rFonts w:ascii="Times New Roman" w:hAnsi="Times New Roman"/>
                <w:color w:val="000000"/>
              </w:rPr>
              <w:t>mają zastosowanie do nowych budynków oraz budynków poddawanych przebudowie albo remontom budynków niemieszkalnych i mieszkalnych mających więcej niż 10 miejsc parkingowych, jak również niemieszkalnych budynków istniejących, w których jest więcej niż 20 miejsc parkingowych. Zgodnie z art. 8 ust. 2 dyrektywy Parlamentu Europejskiego i Rady  2010/31/UE z dnia 19 maja 2010 r. w sprawie charakterystyki energetycznej budynków, zwanej dalej „dyrektywą 2010/31/UE”, w brzmieniu nadanym dyrektywą 2018/844, w odniesieniu do nowych budynków niemieszkalnych i budynków niemieszkalnych poddawanych ważniejszym renowacjom, mających więcej niż dziesięć miejsc parkingowych, państwa członkowskie zapewniają instalację co najmniej jednego punktu ładowania w rozumieniu dyrektywy Parlamentu Europejskiego i Rady 2014/94/UE z dnia 22 października 2014 r. w sprawie rozwoju infrastruktury paliw alternatywnych (Dz. Urz. UE L 307 z 28.10.2014, str. 1, z późn. zm.), wraz z infrastrukturą kanałową na przewody elektryczne, na co najmniej jednym na pięć miejsc parkingowych, aby umożliwić zainstalowanie w późniejszym czasie punktów ładowania przeznaczonych dla pojazdów elektrycznych. Ponadto</w:t>
            </w:r>
            <w:r w:rsidR="00494F4B" w:rsidRPr="00BA1463">
              <w:rPr>
                <w:rFonts w:ascii="Times New Roman" w:hAnsi="Times New Roman"/>
                <w:color w:val="000000"/>
              </w:rPr>
              <w:t>,</w:t>
            </w:r>
            <w:r w:rsidRPr="00BA1463">
              <w:rPr>
                <w:rFonts w:ascii="Times New Roman" w:hAnsi="Times New Roman"/>
                <w:color w:val="000000"/>
              </w:rPr>
              <w:t xml:space="preserve"> zgodnie z art. 8 ust. 5 dyrektywy 2010/31/UE, w brzmieniu nadanym dyrektywą 2018/844, w odniesieniu do nowych budynków mieszkalnych i budynków mieszkalnych poddawanych ważniejszym renowacjom, do których należy więcej niż dziesięć miejsc parkingowych, państwa członkowskie zapewniają instalację infrastruktury kanałowej na przewody elektryczne na wszystkich miejscach parkingowych, aby umożliwić zainstalowanie w późniejszym czasie punktów ładowania przeznaczonych dla pojazdów elektrycznych. Wymagania dyrektywy 2010/31/UE dotyczą również niemieszkalnych budynków istniejących, w których jest więcej niż 20 miejsc parkingowych co do których państwa członkowskie określają wymagania dotyczące instalowania minimalnej liczby punktów ładowania – obowiązujące od 1</w:t>
            </w:r>
            <w:r w:rsidR="00BA1463">
              <w:rPr>
                <w:rFonts w:ascii="Times New Roman" w:hAnsi="Times New Roman"/>
                <w:color w:val="000000"/>
              </w:rPr>
              <w:t>.01.</w:t>
            </w:r>
            <w:r w:rsidRPr="00BA1463">
              <w:rPr>
                <w:rFonts w:ascii="Times New Roman" w:hAnsi="Times New Roman"/>
                <w:color w:val="000000"/>
              </w:rPr>
              <w:t xml:space="preserve">2025 r. </w:t>
            </w:r>
          </w:p>
        </w:tc>
      </w:tr>
      <w:tr w:rsidR="006A701A" w:rsidRPr="0050413F" w14:paraId="0981C438" w14:textId="77777777" w:rsidTr="00676C8D">
        <w:trPr>
          <w:gridAfter w:val="1"/>
          <w:wAfter w:w="10" w:type="dxa"/>
          <w:trHeight w:val="142"/>
        </w:trPr>
        <w:tc>
          <w:tcPr>
            <w:tcW w:w="10937" w:type="dxa"/>
            <w:gridSpan w:val="29"/>
            <w:shd w:val="clear" w:color="auto" w:fill="99CCFF"/>
            <w:vAlign w:val="center"/>
          </w:tcPr>
          <w:p w14:paraId="4AA3D07A" w14:textId="77777777" w:rsidR="006A701A" w:rsidRPr="0050413F" w:rsidRDefault="0013216E" w:rsidP="0050413F">
            <w:pPr>
              <w:numPr>
                <w:ilvl w:val="0"/>
                <w:numId w:val="3"/>
              </w:numPr>
              <w:spacing w:line="240" w:lineRule="auto"/>
              <w:ind w:left="318" w:hanging="284"/>
              <w:jc w:val="both"/>
              <w:rPr>
                <w:rFonts w:ascii="Times New Roman" w:hAnsi="Times New Roman"/>
                <w:b/>
                <w:color w:val="000000"/>
              </w:rPr>
            </w:pPr>
            <w:r w:rsidRPr="0050413F">
              <w:rPr>
                <w:rFonts w:ascii="Times New Roman" w:hAnsi="Times New Roman"/>
                <w:b/>
                <w:color w:val="000000"/>
                <w:spacing w:val="-2"/>
              </w:rPr>
              <w:lastRenderedPageBreak/>
              <w:t>Rekomendowane rozwiązanie, w tym planowane narzędzia interwencji, i oczekiwany efekt</w:t>
            </w:r>
          </w:p>
        </w:tc>
      </w:tr>
      <w:tr w:rsidR="006A701A" w:rsidRPr="0050413F" w14:paraId="06518296" w14:textId="77777777" w:rsidTr="00676C8D">
        <w:trPr>
          <w:gridAfter w:val="1"/>
          <w:wAfter w:w="10" w:type="dxa"/>
          <w:trHeight w:val="142"/>
        </w:trPr>
        <w:tc>
          <w:tcPr>
            <w:tcW w:w="10937" w:type="dxa"/>
            <w:gridSpan w:val="29"/>
            <w:shd w:val="clear" w:color="auto" w:fill="auto"/>
          </w:tcPr>
          <w:p w14:paraId="171263B8" w14:textId="6EFB8302" w:rsidR="00C92463" w:rsidRPr="0050413F" w:rsidRDefault="00FB291F" w:rsidP="0050413F">
            <w:pPr>
              <w:spacing w:line="240" w:lineRule="auto"/>
              <w:jc w:val="both"/>
              <w:rPr>
                <w:rFonts w:ascii="Times New Roman" w:hAnsi="Times New Roman"/>
                <w:color w:val="000000"/>
                <w:spacing w:val="-2"/>
              </w:rPr>
            </w:pPr>
            <w:r>
              <w:rPr>
                <w:rFonts w:ascii="Times New Roman" w:hAnsi="Times New Roman"/>
                <w:color w:val="000000"/>
                <w:spacing w:val="-2"/>
              </w:rPr>
              <w:t xml:space="preserve">1. </w:t>
            </w:r>
            <w:r w:rsidR="00053AB9" w:rsidRPr="0050413F">
              <w:rPr>
                <w:rFonts w:ascii="Times New Roman" w:hAnsi="Times New Roman"/>
                <w:color w:val="000000"/>
                <w:spacing w:val="-2"/>
              </w:rPr>
              <w:t xml:space="preserve">W projektowanych przepisach </w:t>
            </w:r>
            <w:r w:rsidR="004E316B">
              <w:rPr>
                <w:rFonts w:ascii="Times New Roman" w:hAnsi="Times New Roman"/>
                <w:color w:val="000000"/>
                <w:spacing w:val="-2"/>
              </w:rPr>
              <w:t>zaproponowane</w:t>
            </w:r>
            <w:r w:rsidR="004E316B" w:rsidRPr="0050413F">
              <w:rPr>
                <w:rFonts w:ascii="Times New Roman" w:hAnsi="Times New Roman"/>
                <w:color w:val="000000"/>
                <w:spacing w:val="-2"/>
              </w:rPr>
              <w:t xml:space="preserve"> </w:t>
            </w:r>
            <w:r w:rsidR="00C92463" w:rsidRPr="0050413F">
              <w:rPr>
                <w:rFonts w:ascii="Times New Roman" w:hAnsi="Times New Roman"/>
                <w:color w:val="000000"/>
                <w:spacing w:val="-2"/>
              </w:rPr>
              <w:t>zostały wymienione poniżej narzędzia, po wprowadzeniu których spodziewany jest szybszy rozwój elektromobilności oraz ekologicznego transportu</w:t>
            </w:r>
            <w:r w:rsidR="004E316B">
              <w:rPr>
                <w:rFonts w:ascii="Times New Roman" w:hAnsi="Times New Roman"/>
                <w:color w:val="000000"/>
                <w:spacing w:val="-2"/>
              </w:rPr>
              <w:t>,</w:t>
            </w:r>
            <w:r w:rsidR="00C92463" w:rsidRPr="0050413F">
              <w:rPr>
                <w:rFonts w:ascii="Times New Roman" w:hAnsi="Times New Roman"/>
                <w:color w:val="000000"/>
                <w:spacing w:val="-2"/>
              </w:rPr>
              <w:t xml:space="preserve"> </w:t>
            </w:r>
            <w:r w:rsidR="004E316B">
              <w:rPr>
                <w:rFonts w:ascii="Times New Roman" w:hAnsi="Times New Roman"/>
                <w:color w:val="000000"/>
                <w:spacing w:val="-2"/>
              </w:rPr>
              <w:t xml:space="preserve">w wyniku </w:t>
            </w:r>
            <w:r w:rsidR="004E316B" w:rsidRPr="0050413F">
              <w:rPr>
                <w:rFonts w:ascii="Times New Roman" w:hAnsi="Times New Roman"/>
                <w:color w:val="000000"/>
                <w:spacing w:val="-2"/>
              </w:rPr>
              <w:t>stworzeni</w:t>
            </w:r>
            <w:r w:rsidR="004E316B">
              <w:rPr>
                <w:rFonts w:ascii="Times New Roman" w:hAnsi="Times New Roman"/>
                <w:color w:val="000000"/>
                <w:spacing w:val="-2"/>
              </w:rPr>
              <w:t>a</w:t>
            </w:r>
            <w:r w:rsidR="004E316B" w:rsidRPr="0050413F">
              <w:rPr>
                <w:rFonts w:ascii="Times New Roman" w:hAnsi="Times New Roman"/>
                <w:color w:val="000000"/>
                <w:spacing w:val="-2"/>
              </w:rPr>
              <w:t xml:space="preserve"> </w:t>
            </w:r>
            <w:r w:rsidR="00C92463" w:rsidRPr="0050413F">
              <w:rPr>
                <w:rFonts w:ascii="Times New Roman" w:hAnsi="Times New Roman"/>
                <w:color w:val="000000"/>
                <w:spacing w:val="-2"/>
              </w:rPr>
              <w:t>bodźców dla branży oraz obywateli</w:t>
            </w:r>
            <w:r w:rsidR="004E316B">
              <w:rPr>
                <w:rFonts w:ascii="Times New Roman" w:hAnsi="Times New Roman"/>
                <w:color w:val="000000"/>
                <w:spacing w:val="-2"/>
              </w:rPr>
              <w:t>:</w:t>
            </w:r>
          </w:p>
          <w:p w14:paraId="37883F45" w14:textId="037B02CE" w:rsidR="00D068EF" w:rsidRPr="0050413F" w:rsidRDefault="002931A9" w:rsidP="002931A9">
            <w:pPr>
              <w:numPr>
                <w:ilvl w:val="0"/>
                <w:numId w:val="24"/>
              </w:numPr>
              <w:spacing w:line="240" w:lineRule="auto"/>
              <w:ind w:left="347"/>
              <w:jc w:val="both"/>
              <w:rPr>
                <w:rFonts w:ascii="Times New Roman" w:hAnsi="Times New Roman"/>
                <w:color w:val="000000"/>
                <w:spacing w:val="-2"/>
              </w:rPr>
            </w:pPr>
            <w:r>
              <w:rPr>
                <w:rFonts w:ascii="Times New Roman" w:hAnsi="Times New Roman"/>
                <w:color w:val="000000"/>
                <w:spacing w:val="-2"/>
              </w:rPr>
              <w:t>n</w:t>
            </w:r>
            <w:r w:rsidR="00682D89" w:rsidRPr="0050413F">
              <w:rPr>
                <w:rFonts w:ascii="Times New Roman" w:hAnsi="Times New Roman"/>
                <w:color w:val="000000"/>
                <w:spacing w:val="-2"/>
              </w:rPr>
              <w:t xml:space="preserve">a bazie dotychczasowych doświadczeń proponuje się wprowadzenie przepisów </w:t>
            </w:r>
            <w:r w:rsidR="00B23D23" w:rsidRPr="0050413F">
              <w:rPr>
                <w:rFonts w:ascii="Times New Roman" w:hAnsi="Times New Roman"/>
                <w:color w:val="000000"/>
                <w:spacing w:val="-2"/>
              </w:rPr>
              <w:t xml:space="preserve">doprecyzowujących zasady tworzenia </w:t>
            </w:r>
            <w:r w:rsidR="00C92463" w:rsidRPr="0050413F">
              <w:rPr>
                <w:rFonts w:ascii="Times New Roman" w:hAnsi="Times New Roman"/>
                <w:color w:val="000000"/>
                <w:spacing w:val="-2"/>
              </w:rPr>
              <w:t>stref czystego transportu</w:t>
            </w:r>
            <w:r w:rsidR="00682D89" w:rsidRPr="0050413F">
              <w:rPr>
                <w:rFonts w:ascii="Times New Roman" w:hAnsi="Times New Roman"/>
                <w:color w:val="000000"/>
                <w:spacing w:val="-2"/>
              </w:rPr>
              <w:t>. M</w:t>
            </w:r>
            <w:r w:rsidR="00C92463" w:rsidRPr="0050413F">
              <w:rPr>
                <w:rFonts w:ascii="Times New Roman" w:hAnsi="Times New Roman"/>
                <w:color w:val="000000"/>
                <w:spacing w:val="-2"/>
              </w:rPr>
              <w:t>ają</w:t>
            </w:r>
            <w:r w:rsidR="00682D89" w:rsidRPr="0050413F">
              <w:rPr>
                <w:rFonts w:ascii="Times New Roman" w:hAnsi="Times New Roman"/>
                <w:color w:val="000000"/>
                <w:spacing w:val="-2"/>
              </w:rPr>
              <w:t xml:space="preserve"> one</w:t>
            </w:r>
            <w:r w:rsidR="00C92463" w:rsidRPr="0050413F">
              <w:rPr>
                <w:rFonts w:ascii="Times New Roman" w:hAnsi="Times New Roman"/>
                <w:color w:val="000000"/>
                <w:spacing w:val="-2"/>
              </w:rPr>
              <w:t xml:space="preserve"> na celu </w:t>
            </w:r>
            <w:r>
              <w:rPr>
                <w:rFonts w:ascii="Times New Roman" w:hAnsi="Times New Roman"/>
                <w:color w:val="000000"/>
                <w:spacing w:val="-2"/>
              </w:rPr>
              <w:t>m.in. wprowadzenie</w:t>
            </w:r>
            <w:r w:rsidRPr="0050413F">
              <w:rPr>
                <w:rFonts w:ascii="Times New Roman" w:hAnsi="Times New Roman"/>
                <w:color w:val="000000"/>
                <w:spacing w:val="-2"/>
              </w:rPr>
              <w:t xml:space="preserve"> </w:t>
            </w:r>
            <w:r w:rsidR="00D068EF" w:rsidRPr="0050413F">
              <w:rPr>
                <w:rFonts w:ascii="Times New Roman" w:hAnsi="Times New Roman"/>
                <w:color w:val="000000"/>
                <w:spacing w:val="-2"/>
              </w:rPr>
              <w:t>obowiązku tworzenia stref w miastach liczących powyżej 100 000 tys. mieszkańców</w:t>
            </w:r>
            <w:r w:rsidR="00A23D3E">
              <w:rPr>
                <w:rFonts w:ascii="Times New Roman" w:hAnsi="Times New Roman"/>
                <w:color w:val="000000"/>
                <w:spacing w:val="-2"/>
              </w:rPr>
              <w:t xml:space="preserve"> w przypadku przekroczenia dopuszczalnych norm emisji NO2</w:t>
            </w:r>
            <w:r w:rsidR="00D068EF" w:rsidRPr="0050413F">
              <w:rPr>
                <w:rFonts w:ascii="Times New Roman" w:hAnsi="Times New Roman"/>
                <w:color w:val="000000"/>
                <w:spacing w:val="-2"/>
              </w:rPr>
              <w:t xml:space="preserve"> oraz </w:t>
            </w:r>
            <w:r w:rsidR="00C92463" w:rsidRPr="0050413F">
              <w:rPr>
                <w:rFonts w:ascii="Times New Roman" w:hAnsi="Times New Roman"/>
                <w:color w:val="000000"/>
                <w:spacing w:val="-2"/>
              </w:rPr>
              <w:t>wprowadzenie możliwości ustanawiania stref we wszystkich gminach, niezależnie od liczby mieszkańców, jak również wprowadzenie specjalnych oznaczeń dla pojazdów uprawnionych do poruszania się w obrębie stref.</w:t>
            </w:r>
            <w:r w:rsidR="00D068EF" w:rsidRPr="0050413F">
              <w:rPr>
                <w:rFonts w:ascii="Times New Roman" w:hAnsi="Times New Roman"/>
                <w:color w:val="000000"/>
                <w:spacing w:val="-2"/>
              </w:rPr>
              <w:t xml:space="preserve"> </w:t>
            </w:r>
            <w:r w:rsidR="006C161F">
              <w:rPr>
                <w:rFonts w:ascii="Times New Roman" w:hAnsi="Times New Roman"/>
                <w:color w:val="000000"/>
                <w:spacing w:val="-2"/>
              </w:rPr>
              <w:t>Jednocześnie, p</w:t>
            </w:r>
            <w:r w:rsidR="00D068EF" w:rsidRPr="0050413F">
              <w:rPr>
                <w:rFonts w:ascii="Times New Roman" w:hAnsi="Times New Roman"/>
                <w:color w:val="000000"/>
                <w:spacing w:val="-2"/>
              </w:rPr>
              <w:t>rojektowane zmiany maja na celu uelastycznienie  przepisów w tym zakresie</w:t>
            </w:r>
            <w:r w:rsidR="006C161F">
              <w:rPr>
                <w:rFonts w:ascii="Times New Roman" w:hAnsi="Times New Roman"/>
                <w:color w:val="000000"/>
                <w:spacing w:val="-2"/>
              </w:rPr>
              <w:t xml:space="preserve"> i pozostawienie większej niż dotychczas możliwości ich kształtowania gminom, które najlepiej znają lokalne potrzeby w tym zakresie;</w:t>
            </w:r>
          </w:p>
          <w:p w14:paraId="1266FD6B" w14:textId="4AE67765" w:rsidR="00C92463" w:rsidRPr="0050413F" w:rsidRDefault="006C161F" w:rsidP="002931A9">
            <w:pPr>
              <w:numPr>
                <w:ilvl w:val="0"/>
                <w:numId w:val="24"/>
              </w:numPr>
              <w:spacing w:line="240" w:lineRule="auto"/>
              <w:ind w:left="347"/>
              <w:jc w:val="both"/>
              <w:rPr>
                <w:rFonts w:ascii="Times New Roman" w:hAnsi="Times New Roman"/>
                <w:color w:val="000000"/>
                <w:spacing w:val="-2"/>
              </w:rPr>
            </w:pPr>
            <w:r>
              <w:rPr>
                <w:rFonts w:ascii="Times New Roman" w:hAnsi="Times New Roman"/>
                <w:color w:val="000000"/>
                <w:spacing w:val="-2"/>
              </w:rPr>
              <w:t>u</w:t>
            </w:r>
            <w:r w:rsidR="00682D89" w:rsidRPr="0050413F">
              <w:rPr>
                <w:rFonts w:ascii="Times New Roman" w:hAnsi="Times New Roman"/>
                <w:color w:val="000000"/>
                <w:spacing w:val="-2"/>
              </w:rPr>
              <w:t xml:space="preserve">regulowanie w przepisach procedury mającej na celu instalację w budynkach wielorodzinnych punktów ładowania.  Proponowane przepisy określają </w:t>
            </w:r>
            <w:r w:rsidR="005C5C35" w:rsidRPr="0050413F">
              <w:rPr>
                <w:rFonts w:ascii="Times New Roman" w:hAnsi="Times New Roman"/>
                <w:color w:val="000000"/>
                <w:spacing w:val="-2"/>
              </w:rPr>
              <w:t>przypadk</w:t>
            </w:r>
            <w:r w:rsidR="00682D89" w:rsidRPr="0050413F">
              <w:rPr>
                <w:rFonts w:ascii="Times New Roman" w:hAnsi="Times New Roman"/>
                <w:color w:val="000000"/>
                <w:spacing w:val="-2"/>
              </w:rPr>
              <w:t>i</w:t>
            </w:r>
            <w:r w:rsidR="005C5C35" w:rsidRPr="0050413F">
              <w:rPr>
                <w:rFonts w:ascii="Times New Roman" w:hAnsi="Times New Roman"/>
                <w:color w:val="000000"/>
                <w:spacing w:val="-2"/>
              </w:rPr>
              <w:t>,</w:t>
            </w:r>
            <w:r w:rsidR="00C92463" w:rsidRPr="0050413F">
              <w:rPr>
                <w:rFonts w:ascii="Times New Roman" w:hAnsi="Times New Roman"/>
                <w:color w:val="000000"/>
                <w:spacing w:val="-2"/>
              </w:rPr>
              <w:t xml:space="preserve"> w jakich wspólnota mieszkaniowa/spółdzielnia może wydać decyzję odmowną odnośnie </w:t>
            </w:r>
            <w:r w:rsidR="005C5C35" w:rsidRPr="0050413F">
              <w:rPr>
                <w:rFonts w:ascii="Times New Roman" w:hAnsi="Times New Roman"/>
                <w:color w:val="000000"/>
                <w:spacing w:val="-2"/>
              </w:rPr>
              <w:t xml:space="preserve">do </w:t>
            </w:r>
            <w:r w:rsidR="00C92463" w:rsidRPr="0050413F">
              <w:rPr>
                <w:rFonts w:ascii="Times New Roman" w:hAnsi="Times New Roman"/>
                <w:color w:val="000000"/>
                <w:spacing w:val="-2"/>
              </w:rPr>
              <w:t xml:space="preserve">instalacji prywatnego punktu poboru energii przez mieszkańca oraz przyłączenia go do sieci poprowadzonej w nieruchomości. </w:t>
            </w:r>
            <w:r>
              <w:rPr>
                <w:rFonts w:ascii="Times New Roman" w:hAnsi="Times New Roman"/>
                <w:color w:val="000000"/>
                <w:spacing w:val="-2"/>
              </w:rPr>
              <w:t>Dodano także przepisy</w:t>
            </w:r>
            <w:r w:rsidR="00C92463" w:rsidRPr="0050413F">
              <w:rPr>
                <w:rFonts w:ascii="Times New Roman" w:hAnsi="Times New Roman"/>
                <w:color w:val="000000"/>
                <w:spacing w:val="-2"/>
              </w:rPr>
              <w:t xml:space="preserve"> </w:t>
            </w:r>
            <w:r>
              <w:rPr>
                <w:rFonts w:ascii="Times New Roman" w:hAnsi="Times New Roman"/>
                <w:color w:val="000000"/>
                <w:spacing w:val="-2"/>
              </w:rPr>
              <w:t xml:space="preserve">nakładające obowiązek </w:t>
            </w:r>
            <w:r w:rsidR="00C92463" w:rsidRPr="0050413F">
              <w:rPr>
                <w:rFonts w:ascii="Times New Roman" w:hAnsi="Times New Roman"/>
                <w:color w:val="000000"/>
                <w:spacing w:val="-2"/>
              </w:rPr>
              <w:t xml:space="preserve"> przeprowadzania ekspertyz dotyczących możliwości przyłączeniowych budynku, tak by wspólnota/spółdzielnia mieszkaniowa musiała wyrazić zgodę na instalację punktu, w przypadku gdy moce przyłączeniowe w budynku na to pozwalają</w:t>
            </w:r>
            <w:r w:rsidR="00EF3650" w:rsidRPr="0050413F">
              <w:rPr>
                <w:rFonts w:ascii="Times New Roman" w:hAnsi="Times New Roman"/>
                <w:color w:val="000000"/>
                <w:spacing w:val="-2"/>
              </w:rPr>
              <w:t>.</w:t>
            </w:r>
            <w:r w:rsidR="00037449" w:rsidRPr="0050413F">
              <w:rPr>
                <w:rFonts w:ascii="Times New Roman" w:hAnsi="Times New Roman"/>
                <w:color w:val="000000"/>
                <w:spacing w:val="-2"/>
              </w:rPr>
              <w:t xml:space="preserve"> W przypadku budynków posiadających status zabytków niezbędne jest uzyskanie zgody właściwego konserwatora zabytków. </w:t>
            </w:r>
            <w:r>
              <w:rPr>
                <w:rFonts w:ascii="Times New Roman" w:hAnsi="Times New Roman"/>
                <w:color w:val="000000"/>
                <w:spacing w:val="-2"/>
              </w:rPr>
              <w:t>Zakłada się, że p</w:t>
            </w:r>
            <w:r w:rsidR="00037449" w:rsidRPr="0050413F">
              <w:rPr>
                <w:rFonts w:ascii="Times New Roman" w:hAnsi="Times New Roman"/>
                <w:color w:val="000000"/>
                <w:spacing w:val="-2"/>
              </w:rPr>
              <w:t xml:space="preserve">rojektowane przepisy ułatwią w znaczący sposób </w:t>
            </w:r>
            <w:r w:rsidR="00EA3191" w:rsidRPr="0050413F">
              <w:rPr>
                <w:rFonts w:ascii="Times New Roman" w:hAnsi="Times New Roman"/>
                <w:color w:val="000000"/>
                <w:spacing w:val="-2"/>
              </w:rPr>
              <w:t>montaż punktów ładowania na wniosek mieszkańców danego budynku. Działania te przyczyni</w:t>
            </w:r>
            <w:r>
              <w:rPr>
                <w:rFonts w:ascii="Times New Roman" w:hAnsi="Times New Roman"/>
                <w:color w:val="000000"/>
                <w:spacing w:val="-2"/>
              </w:rPr>
              <w:t>ą</w:t>
            </w:r>
            <w:r w:rsidR="00EA3191" w:rsidRPr="0050413F">
              <w:rPr>
                <w:rFonts w:ascii="Times New Roman" w:hAnsi="Times New Roman"/>
                <w:color w:val="000000"/>
                <w:spacing w:val="-2"/>
              </w:rPr>
              <w:t xml:space="preserve"> się do zwiększenia liczby punktów ładowania samochodów elektrycznych. Osoby zainteresowane zakupem takiego pojazdu otrzymają możliwość ładowania go w swoim miejscu zamieszkania. Tego rodzaju model ładowania jest najkorzystniejszym rozwiązanie</w:t>
            </w:r>
            <w:r>
              <w:rPr>
                <w:rFonts w:ascii="Times New Roman" w:hAnsi="Times New Roman"/>
                <w:color w:val="000000"/>
                <w:spacing w:val="-2"/>
              </w:rPr>
              <w:t>m</w:t>
            </w:r>
            <w:r w:rsidR="00EA3191" w:rsidRPr="0050413F">
              <w:rPr>
                <w:rFonts w:ascii="Times New Roman" w:hAnsi="Times New Roman"/>
                <w:color w:val="000000"/>
                <w:spacing w:val="-2"/>
              </w:rPr>
              <w:t xml:space="preserve"> ponieważ odbywa się najczęściej w porze nocnej</w:t>
            </w:r>
            <w:r>
              <w:rPr>
                <w:rFonts w:ascii="Times New Roman" w:hAnsi="Times New Roman"/>
                <w:color w:val="000000"/>
                <w:spacing w:val="-2"/>
              </w:rPr>
              <w:t>,</w:t>
            </w:r>
            <w:r w:rsidR="00EA3191" w:rsidRPr="0050413F">
              <w:rPr>
                <w:rFonts w:ascii="Times New Roman" w:hAnsi="Times New Roman"/>
                <w:color w:val="000000"/>
                <w:spacing w:val="-2"/>
              </w:rPr>
              <w:t xml:space="preserve"> kiedy pojazd nie jest użytkowany, a zużycie prądu jest niższe niż w dzień co stabilizuje pracę sieci energetycznej</w:t>
            </w:r>
            <w:r>
              <w:rPr>
                <w:rFonts w:ascii="Times New Roman" w:hAnsi="Times New Roman"/>
                <w:color w:val="000000"/>
                <w:spacing w:val="-2"/>
              </w:rPr>
              <w:t>;</w:t>
            </w:r>
          </w:p>
          <w:p w14:paraId="76D047BC" w14:textId="2602E7D7" w:rsidR="00EF3650" w:rsidRPr="0050413F" w:rsidRDefault="006C161F" w:rsidP="002931A9">
            <w:pPr>
              <w:numPr>
                <w:ilvl w:val="0"/>
                <w:numId w:val="24"/>
              </w:numPr>
              <w:spacing w:line="240" w:lineRule="auto"/>
              <w:ind w:left="347"/>
              <w:jc w:val="both"/>
              <w:rPr>
                <w:rFonts w:ascii="Times New Roman" w:hAnsi="Times New Roman"/>
                <w:color w:val="000000"/>
                <w:spacing w:val="-2"/>
              </w:rPr>
            </w:pPr>
            <w:r>
              <w:rPr>
                <w:rFonts w:ascii="Times New Roman" w:hAnsi="Times New Roman"/>
                <w:color w:val="000000"/>
                <w:spacing w:val="-2"/>
              </w:rPr>
              <w:t>r</w:t>
            </w:r>
            <w:r w:rsidR="00EF3650" w:rsidRPr="0050413F">
              <w:rPr>
                <w:rFonts w:ascii="Times New Roman" w:hAnsi="Times New Roman"/>
                <w:color w:val="000000"/>
                <w:spacing w:val="-2"/>
              </w:rPr>
              <w:t xml:space="preserve">ozszerzenie uprawnień posiadanych przez inspektorów </w:t>
            </w:r>
            <w:r w:rsidR="00B04F8A" w:rsidRPr="0050413F">
              <w:rPr>
                <w:rFonts w:ascii="Times New Roman" w:hAnsi="Times New Roman"/>
                <w:color w:val="000000"/>
                <w:spacing w:val="-2"/>
              </w:rPr>
              <w:t>UDT</w:t>
            </w:r>
            <w:r w:rsidR="00EF3650" w:rsidRPr="0050413F">
              <w:rPr>
                <w:rFonts w:ascii="Times New Roman" w:hAnsi="Times New Roman"/>
                <w:color w:val="000000"/>
                <w:spacing w:val="-2"/>
              </w:rPr>
              <w:t xml:space="preserve"> </w:t>
            </w:r>
            <w:r w:rsidR="00A23D3E">
              <w:rPr>
                <w:rFonts w:ascii="Times New Roman" w:hAnsi="Times New Roman"/>
                <w:color w:val="000000"/>
                <w:spacing w:val="-2"/>
              </w:rPr>
              <w:t>oraz TDT</w:t>
            </w:r>
            <w:r>
              <w:rPr>
                <w:rFonts w:ascii="Times New Roman" w:hAnsi="Times New Roman"/>
                <w:color w:val="000000"/>
                <w:spacing w:val="-2"/>
              </w:rPr>
              <w:t xml:space="preserve"> </w:t>
            </w:r>
            <w:r w:rsidR="00EF3650" w:rsidRPr="0050413F">
              <w:rPr>
                <w:rFonts w:ascii="Times New Roman" w:hAnsi="Times New Roman"/>
                <w:color w:val="000000"/>
                <w:spacing w:val="-2"/>
              </w:rPr>
              <w:t>o możliwość przeprowadzania kontroli</w:t>
            </w:r>
            <w:r w:rsidR="00B04F8A" w:rsidRPr="0050413F">
              <w:rPr>
                <w:rFonts w:ascii="Times New Roman" w:hAnsi="Times New Roman"/>
                <w:color w:val="000000"/>
                <w:spacing w:val="-2"/>
              </w:rPr>
              <w:t xml:space="preserve"> </w:t>
            </w:r>
            <w:r w:rsidR="00EF3650" w:rsidRPr="0050413F">
              <w:rPr>
                <w:rFonts w:ascii="Times New Roman" w:hAnsi="Times New Roman"/>
                <w:color w:val="000000"/>
                <w:spacing w:val="-2"/>
              </w:rPr>
              <w:t>doraźnych.</w:t>
            </w:r>
            <w:r w:rsidR="006A2428" w:rsidRPr="0050413F">
              <w:rPr>
                <w:rFonts w:ascii="Times New Roman" w:hAnsi="Times New Roman"/>
              </w:rPr>
              <w:t xml:space="preserve"> </w:t>
            </w:r>
            <w:r w:rsidR="006A2428" w:rsidRPr="0050413F">
              <w:rPr>
                <w:rFonts w:ascii="Times New Roman" w:hAnsi="Times New Roman"/>
                <w:color w:val="000000"/>
                <w:spacing w:val="-2"/>
              </w:rPr>
              <w:t>Uprawnienia kontrolne dla UDT</w:t>
            </w:r>
            <w:r w:rsidR="00A23D3E">
              <w:rPr>
                <w:rFonts w:ascii="Times New Roman" w:hAnsi="Times New Roman"/>
                <w:color w:val="000000"/>
                <w:spacing w:val="-2"/>
              </w:rPr>
              <w:t xml:space="preserve"> oraz TDT</w:t>
            </w:r>
            <w:r w:rsidR="006A2428" w:rsidRPr="0050413F">
              <w:rPr>
                <w:rFonts w:ascii="Times New Roman" w:hAnsi="Times New Roman"/>
                <w:color w:val="000000"/>
                <w:spacing w:val="-2"/>
              </w:rPr>
              <w:t xml:space="preserve"> zostaną poszerzone o możliwość przeprowadzania kontroli doraźnych w przypadku podejrzenia wystąpienia zagrożenia dla bezpieczeństwa użytkowników, z uwagi na awarie lub uszkodzenia powstałe w trakcie eksploatacji stacji oraz punktów ładowania. </w:t>
            </w:r>
            <w:r>
              <w:rPr>
                <w:rFonts w:ascii="Times New Roman" w:hAnsi="Times New Roman"/>
                <w:color w:val="000000"/>
                <w:spacing w:val="-2"/>
              </w:rPr>
              <w:t>Dodatkowo, w związku z wprowadzeniem regulacji dotyczących stacji wodoru, w projekt zawiera przepisy regulujące kwestię kontroli tych instalacji przez UDT i TDT, analogicznie jak w przypadku stacji ładowania oraz stacji gazu ziemnego;</w:t>
            </w:r>
          </w:p>
          <w:p w14:paraId="2F5CF9A3" w14:textId="7EFA37D4" w:rsidR="00EF3650" w:rsidRPr="0050413F" w:rsidRDefault="006C161F" w:rsidP="002931A9">
            <w:pPr>
              <w:numPr>
                <w:ilvl w:val="0"/>
                <w:numId w:val="24"/>
              </w:numPr>
              <w:spacing w:line="240" w:lineRule="auto"/>
              <w:ind w:left="347"/>
              <w:jc w:val="both"/>
              <w:rPr>
                <w:rFonts w:ascii="Times New Roman" w:hAnsi="Times New Roman"/>
                <w:color w:val="000000"/>
                <w:spacing w:val="-2"/>
              </w:rPr>
            </w:pPr>
            <w:r>
              <w:rPr>
                <w:rFonts w:ascii="Times New Roman" w:hAnsi="Times New Roman"/>
                <w:color w:val="000000"/>
                <w:spacing w:val="-2"/>
              </w:rPr>
              <w:t>d</w:t>
            </w:r>
            <w:r w:rsidR="00EF3650" w:rsidRPr="0050413F">
              <w:rPr>
                <w:rFonts w:ascii="Times New Roman" w:hAnsi="Times New Roman"/>
                <w:color w:val="000000"/>
                <w:spacing w:val="-2"/>
              </w:rPr>
              <w:t xml:space="preserve">oprecyzowanie przepisów </w:t>
            </w:r>
            <w:r w:rsidR="005C5C35" w:rsidRPr="0050413F">
              <w:rPr>
                <w:rFonts w:ascii="Times New Roman" w:hAnsi="Times New Roman"/>
                <w:color w:val="000000"/>
                <w:spacing w:val="-2"/>
              </w:rPr>
              <w:t>regulujących</w:t>
            </w:r>
            <w:r w:rsidR="00432119" w:rsidRPr="0050413F">
              <w:rPr>
                <w:rFonts w:ascii="Times New Roman" w:hAnsi="Times New Roman"/>
                <w:color w:val="000000"/>
                <w:spacing w:val="-2"/>
              </w:rPr>
              <w:t>,</w:t>
            </w:r>
            <w:r w:rsidR="005C5C35" w:rsidRPr="0050413F">
              <w:rPr>
                <w:rFonts w:ascii="Times New Roman" w:hAnsi="Times New Roman"/>
                <w:color w:val="000000"/>
                <w:spacing w:val="-2"/>
              </w:rPr>
              <w:t xml:space="preserve"> </w:t>
            </w:r>
            <w:r w:rsidR="00EF3650" w:rsidRPr="0050413F">
              <w:rPr>
                <w:rFonts w:ascii="Times New Roman" w:hAnsi="Times New Roman"/>
                <w:color w:val="000000"/>
                <w:spacing w:val="-2"/>
              </w:rPr>
              <w:t>które stacje</w:t>
            </w:r>
            <w:r w:rsidR="005C5C35" w:rsidRPr="0050413F">
              <w:rPr>
                <w:rFonts w:ascii="Times New Roman" w:hAnsi="Times New Roman"/>
                <w:color w:val="000000"/>
                <w:spacing w:val="-2"/>
              </w:rPr>
              <w:t xml:space="preserve"> ładowania</w:t>
            </w:r>
            <w:r w:rsidR="00EF3650" w:rsidRPr="0050413F">
              <w:rPr>
                <w:rFonts w:ascii="Times New Roman" w:hAnsi="Times New Roman"/>
                <w:color w:val="000000"/>
                <w:spacing w:val="-2"/>
              </w:rPr>
              <w:t xml:space="preserve"> powinny podlegać kontrolom przeprowadzanym przez UDT oraz </w:t>
            </w:r>
            <w:r w:rsidR="00682D89" w:rsidRPr="0050413F">
              <w:rPr>
                <w:rFonts w:ascii="Times New Roman" w:hAnsi="Times New Roman"/>
                <w:color w:val="000000"/>
                <w:spacing w:val="-2"/>
              </w:rPr>
              <w:t xml:space="preserve">doprecyzowanie </w:t>
            </w:r>
            <w:r w:rsidR="00EF3650" w:rsidRPr="0050413F">
              <w:rPr>
                <w:rFonts w:ascii="Times New Roman" w:hAnsi="Times New Roman"/>
                <w:color w:val="000000"/>
                <w:spacing w:val="-2"/>
              </w:rPr>
              <w:t>definicji stacji ładowania.</w:t>
            </w:r>
            <w:r w:rsidR="00AD438A" w:rsidRPr="0050413F">
              <w:rPr>
                <w:rFonts w:ascii="Times New Roman" w:hAnsi="Times New Roman"/>
                <w:color w:val="000000"/>
                <w:spacing w:val="-2"/>
              </w:rPr>
              <w:t xml:space="preserve"> Obecnie występują wątpliwości odnośnie do definicji, które stacje ładowania świadczą usługę ładowania przez co podlegają obowiązkowej kontroli przeprowadzanej przez</w:t>
            </w:r>
            <w:r w:rsidR="003936D9" w:rsidRPr="0050413F">
              <w:rPr>
                <w:rFonts w:ascii="Times New Roman" w:hAnsi="Times New Roman"/>
                <w:color w:val="000000"/>
                <w:spacing w:val="-2"/>
              </w:rPr>
              <w:t xml:space="preserve"> </w:t>
            </w:r>
            <w:r w:rsidR="00AD438A" w:rsidRPr="0050413F">
              <w:rPr>
                <w:rFonts w:ascii="Times New Roman" w:hAnsi="Times New Roman"/>
                <w:color w:val="000000"/>
                <w:spacing w:val="-2"/>
              </w:rPr>
              <w:t>UDT. Rozszerzenie i doprecyzowanie definicji pozwala na jednoznaczne określenie które stacje należy określać jako obiekty świadczące usługę ładowania</w:t>
            </w:r>
            <w:r w:rsidR="00FB291F">
              <w:rPr>
                <w:rFonts w:ascii="Times New Roman" w:hAnsi="Times New Roman"/>
                <w:color w:val="000000"/>
                <w:spacing w:val="-2"/>
              </w:rPr>
              <w:t>;</w:t>
            </w:r>
          </w:p>
          <w:p w14:paraId="1CE1A787" w14:textId="12935987" w:rsidR="00EF3650" w:rsidRPr="0050413F" w:rsidRDefault="00FB291F" w:rsidP="002931A9">
            <w:pPr>
              <w:numPr>
                <w:ilvl w:val="0"/>
                <w:numId w:val="24"/>
              </w:numPr>
              <w:spacing w:line="240" w:lineRule="auto"/>
              <w:ind w:left="347"/>
              <w:jc w:val="both"/>
              <w:rPr>
                <w:rFonts w:ascii="Times New Roman" w:hAnsi="Times New Roman"/>
                <w:color w:val="000000"/>
                <w:spacing w:val="-2"/>
              </w:rPr>
            </w:pPr>
            <w:r>
              <w:rPr>
                <w:rFonts w:ascii="Times New Roman" w:hAnsi="Times New Roman"/>
                <w:color w:val="000000"/>
                <w:spacing w:val="-2"/>
              </w:rPr>
              <w:t>p</w:t>
            </w:r>
            <w:r w:rsidRPr="0050413F">
              <w:rPr>
                <w:rFonts w:ascii="Times New Roman" w:hAnsi="Times New Roman"/>
                <w:color w:val="000000"/>
                <w:spacing w:val="-2"/>
              </w:rPr>
              <w:t xml:space="preserve">roponowane </w:t>
            </w:r>
            <w:r w:rsidR="00682D89" w:rsidRPr="0050413F">
              <w:rPr>
                <w:rFonts w:ascii="Times New Roman" w:hAnsi="Times New Roman"/>
                <w:color w:val="000000"/>
                <w:spacing w:val="-2"/>
              </w:rPr>
              <w:t xml:space="preserve">przepisy wprowadzają obowiązek </w:t>
            </w:r>
            <w:r w:rsidR="007606F6" w:rsidRPr="0050413F">
              <w:rPr>
                <w:rFonts w:ascii="Times New Roman" w:hAnsi="Times New Roman"/>
                <w:color w:val="000000"/>
                <w:spacing w:val="-2"/>
              </w:rPr>
              <w:t xml:space="preserve">uzyskiwania </w:t>
            </w:r>
            <w:r w:rsidR="00432119" w:rsidRPr="0050413F">
              <w:rPr>
                <w:rFonts w:ascii="Times New Roman" w:hAnsi="Times New Roman"/>
                <w:color w:val="000000"/>
                <w:spacing w:val="-2"/>
              </w:rPr>
              <w:t xml:space="preserve">indywidualnych </w:t>
            </w:r>
            <w:r w:rsidR="00EF3650" w:rsidRPr="0050413F">
              <w:rPr>
                <w:rFonts w:ascii="Times New Roman" w:hAnsi="Times New Roman"/>
                <w:color w:val="000000"/>
                <w:spacing w:val="-2"/>
              </w:rPr>
              <w:t xml:space="preserve">kodów identyfikacyjnych dla </w:t>
            </w:r>
            <w:r w:rsidR="00432119" w:rsidRPr="0050413F">
              <w:rPr>
                <w:rFonts w:ascii="Times New Roman" w:hAnsi="Times New Roman"/>
                <w:color w:val="000000"/>
                <w:spacing w:val="-2"/>
              </w:rPr>
              <w:t>operatorów ogólnodostępnych stacji ładowania i dostawców usługi ładowania</w:t>
            </w:r>
            <w:r>
              <w:rPr>
                <w:rFonts w:ascii="Times New Roman" w:hAnsi="Times New Roman"/>
                <w:color w:val="000000"/>
                <w:spacing w:val="-2"/>
              </w:rPr>
              <w:t>, operatorów stacji gazu ziemnego i operatorów stacji wodoru oraz doprecyzowują zasady funkcjonowania rejestru (EIPA)</w:t>
            </w:r>
            <w:r w:rsidR="00FB152F" w:rsidRPr="0050413F">
              <w:rPr>
                <w:rFonts w:ascii="Times New Roman" w:hAnsi="Times New Roman"/>
                <w:color w:val="000000"/>
                <w:spacing w:val="-2"/>
              </w:rPr>
              <w:t>.</w:t>
            </w:r>
            <w:r w:rsidR="006A2428" w:rsidRPr="0050413F">
              <w:rPr>
                <w:rFonts w:ascii="Times New Roman" w:eastAsia="Times New Roman" w:hAnsi="Times New Roman"/>
                <w:lang w:eastAsia="pl-PL"/>
              </w:rPr>
              <w:t xml:space="preserve"> </w:t>
            </w:r>
            <w:r w:rsidR="006A2428" w:rsidRPr="0050413F">
              <w:rPr>
                <w:rFonts w:ascii="Times New Roman" w:hAnsi="Times New Roman"/>
                <w:color w:val="000000"/>
                <w:spacing w:val="-2"/>
              </w:rPr>
              <w:t>Polska zobowiązała się do stworzenia repozytorium kodów ID w ramach programu PSA IDACS realizowanego przez KE. Konieczne jest więc wyznaczenie podmiotu nadającego kody oraz określenie zasad ich wydawania</w:t>
            </w:r>
            <w:r>
              <w:rPr>
                <w:rFonts w:ascii="Times New Roman" w:hAnsi="Times New Roman"/>
                <w:color w:val="000000"/>
                <w:spacing w:val="-2"/>
              </w:rPr>
              <w:t>;</w:t>
            </w:r>
          </w:p>
          <w:p w14:paraId="37FC33D3" w14:textId="22494F07" w:rsidR="002E5FFA" w:rsidRDefault="00FB291F" w:rsidP="002931A9">
            <w:pPr>
              <w:numPr>
                <w:ilvl w:val="0"/>
                <w:numId w:val="24"/>
              </w:numPr>
              <w:spacing w:line="240" w:lineRule="auto"/>
              <w:ind w:left="347"/>
              <w:jc w:val="both"/>
              <w:rPr>
                <w:rFonts w:ascii="Times New Roman" w:hAnsi="Times New Roman"/>
                <w:color w:val="000000"/>
                <w:spacing w:val="-2"/>
              </w:rPr>
            </w:pPr>
            <w:r>
              <w:rPr>
                <w:rFonts w:ascii="Times New Roman" w:hAnsi="Times New Roman"/>
                <w:color w:val="000000"/>
                <w:spacing w:val="-2"/>
              </w:rPr>
              <w:t>w</w:t>
            </w:r>
            <w:r w:rsidR="002E5FFA" w:rsidRPr="0050413F">
              <w:rPr>
                <w:rFonts w:ascii="Times New Roman" w:hAnsi="Times New Roman"/>
                <w:color w:val="000000"/>
                <w:spacing w:val="-2"/>
              </w:rPr>
              <w:t>prowadzono przepisy dotyczące amortyzacji pojazdów niskoemisyjnych</w:t>
            </w:r>
            <w:r w:rsidR="00FB152F" w:rsidRPr="0050413F">
              <w:rPr>
                <w:rFonts w:ascii="Times New Roman" w:hAnsi="Times New Roman"/>
                <w:color w:val="000000"/>
                <w:spacing w:val="-2"/>
              </w:rPr>
              <w:t>.</w:t>
            </w:r>
            <w:r w:rsidR="00855453" w:rsidRPr="0050413F">
              <w:rPr>
                <w:rFonts w:ascii="Times New Roman" w:hAnsi="Times New Roman"/>
                <w:color w:val="000000"/>
                <w:spacing w:val="-2"/>
              </w:rPr>
              <w:t xml:space="preserve"> Projektowane rozwiązania mają na celu określenie zasad korzystniejszej amortyzacji dla pojazdów niskoemisyjnych w aspekcie finansowym. Zaproponowane </w:t>
            </w:r>
            <w:r w:rsidR="00855453" w:rsidRPr="0050413F">
              <w:rPr>
                <w:rFonts w:ascii="Times New Roman" w:hAnsi="Times New Roman"/>
                <w:color w:val="000000"/>
                <w:spacing w:val="-2"/>
              </w:rPr>
              <w:lastRenderedPageBreak/>
              <w:t>rozwiązania są korzystniejsze od obowiązujących dla pojazdów spalinowych, a co za tym idzie służą promocji pojazdów niskoemisyjnych</w:t>
            </w:r>
            <w:r>
              <w:rPr>
                <w:rFonts w:ascii="Times New Roman" w:hAnsi="Times New Roman"/>
                <w:color w:val="000000"/>
                <w:spacing w:val="-2"/>
              </w:rPr>
              <w:t>;</w:t>
            </w:r>
          </w:p>
          <w:p w14:paraId="417C5A94" w14:textId="7A0043D9" w:rsidR="002518B6" w:rsidRPr="0050413F" w:rsidRDefault="00FB291F" w:rsidP="002931A9">
            <w:pPr>
              <w:numPr>
                <w:ilvl w:val="0"/>
                <w:numId w:val="24"/>
              </w:numPr>
              <w:spacing w:line="240" w:lineRule="auto"/>
              <w:ind w:left="347"/>
              <w:jc w:val="both"/>
              <w:rPr>
                <w:rFonts w:ascii="Times New Roman" w:hAnsi="Times New Roman"/>
                <w:color w:val="000000"/>
                <w:spacing w:val="-2"/>
              </w:rPr>
            </w:pPr>
            <w:r>
              <w:rPr>
                <w:rFonts w:ascii="Times New Roman" w:hAnsi="Times New Roman"/>
                <w:color w:val="000000"/>
                <w:spacing w:val="-2"/>
              </w:rPr>
              <w:t>w</w:t>
            </w:r>
            <w:r w:rsidR="002518B6">
              <w:rPr>
                <w:rFonts w:ascii="Times New Roman" w:hAnsi="Times New Roman"/>
                <w:color w:val="000000"/>
                <w:spacing w:val="-2"/>
              </w:rPr>
              <w:t>prowadzono do ustawy pojęcia i regulacje mające na celu rozwój infrastruktury tankowania wodoru</w:t>
            </w:r>
            <w:r w:rsidR="00A23D3E">
              <w:rPr>
                <w:rFonts w:ascii="Times New Roman" w:hAnsi="Times New Roman"/>
                <w:color w:val="000000"/>
                <w:spacing w:val="-2"/>
              </w:rPr>
              <w:t xml:space="preserve"> </w:t>
            </w:r>
          </w:p>
          <w:p w14:paraId="47E1F506" w14:textId="4B031585" w:rsidR="00C64F7D" w:rsidRPr="0050413F" w:rsidRDefault="00FB291F" w:rsidP="0050413F">
            <w:pPr>
              <w:spacing w:line="240" w:lineRule="auto"/>
              <w:jc w:val="both"/>
              <w:rPr>
                <w:rFonts w:ascii="Times New Roman" w:hAnsi="Times New Roman"/>
                <w:color w:val="000000"/>
                <w:spacing w:val="-2"/>
              </w:rPr>
            </w:pPr>
            <w:r>
              <w:rPr>
                <w:rFonts w:ascii="Times New Roman" w:hAnsi="Times New Roman"/>
                <w:color w:val="000000"/>
                <w:spacing w:val="-2"/>
              </w:rPr>
              <w:t>2. Rozwiązania w zakresie i</w:t>
            </w:r>
            <w:r w:rsidR="008D57F3" w:rsidRPr="0050413F">
              <w:rPr>
                <w:rFonts w:ascii="Times New Roman" w:hAnsi="Times New Roman"/>
                <w:color w:val="000000"/>
                <w:spacing w:val="-2"/>
              </w:rPr>
              <w:t>mplementowan</w:t>
            </w:r>
            <w:r>
              <w:rPr>
                <w:rFonts w:ascii="Times New Roman" w:hAnsi="Times New Roman"/>
                <w:color w:val="000000"/>
                <w:spacing w:val="-2"/>
              </w:rPr>
              <w:t>ych</w:t>
            </w:r>
            <w:r w:rsidR="008D57F3" w:rsidRPr="0050413F">
              <w:rPr>
                <w:rFonts w:ascii="Times New Roman" w:hAnsi="Times New Roman"/>
                <w:color w:val="000000"/>
                <w:spacing w:val="-2"/>
              </w:rPr>
              <w:t xml:space="preserve"> </w:t>
            </w:r>
            <w:r>
              <w:rPr>
                <w:rFonts w:ascii="Times New Roman" w:hAnsi="Times New Roman"/>
                <w:color w:val="000000"/>
                <w:spacing w:val="-2"/>
              </w:rPr>
              <w:t>dyrektyw:</w:t>
            </w:r>
          </w:p>
          <w:p w14:paraId="2D93DF71" w14:textId="5DEC49F3" w:rsidR="00FB291F" w:rsidRPr="00BA1463" w:rsidRDefault="00F76533" w:rsidP="00BA1463">
            <w:pPr>
              <w:pStyle w:val="Akapitzlist"/>
              <w:numPr>
                <w:ilvl w:val="0"/>
                <w:numId w:val="42"/>
              </w:numPr>
              <w:spacing w:line="240" w:lineRule="auto"/>
              <w:ind w:left="347"/>
              <w:jc w:val="both"/>
              <w:rPr>
                <w:rFonts w:ascii="Times New Roman" w:hAnsi="Times New Roman"/>
                <w:color w:val="000000"/>
                <w:spacing w:val="-2"/>
              </w:rPr>
            </w:pPr>
            <w:r w:rsidRPr="00BA1463">
              <w:rPr>
                <w:rFonts w:ascii="Times New Roman" w:hAnsi="Times New Roman"/>
                <w:color w:val="000000"/>
                <w:spacing w:val="-2"/>
              </w:rPr>
              <w:t xml:space="preserve">Dyrektywa 2019/1161/UE </w:t>
            </w:r>
          </w:p>
          <w:p w14:paraId="4281B99A" w14:textId="4D7DD0E8" w:rsidR="00BB6B3A" w:rsidRPr="00BA1463" w:rsidRDefault="00BB6B3A" w:rsidP="00BA1463">
            <w:pPr>
              <w:pStyle w:val="Akapitzlist"/>
              <w:spacing w:line="240" w:lineRule="auto"/>
              <w:ind w:left="347"/>
              <w:jc w:val="both"/>
              <w:rPr>
                <w:rFonts w:ascii="Times New Roman" w:hAnsi="Times New Roman"/>
                <w:color w:val="000000"/>
                <w:spacing w:val="-2"/>
              </w:rPr>
            </w:pPr>
            <w:r w:rsidRPr="00BA1463">
              <w:rPr>
                <w:rFonts w:ascii="Times New Roman" w:hAnsi="Times New Roman"/>
                <w:color w:val="000000"/>
                <w:spacing w:val="-2"/>
              </w:rPr>
              <w:t>W Polsce istnieją przepisy, które regulują zasady i tryb udzielania zamówień publicznych, jak i zasady funkcjonowania rynku (pojazdów i infrastruktury) paliw alternatywnych w transporcie. Są to: ustawa z dnia 11 września 2019 r. Prawo zamówień publicznych oraz ustawa z dnia 11 listopada 2018 r. o elektromobilności i</w:t>
            </w:r>
            <w:r w:rsidR="007C3452" w:rsidRPr="00BA1463">
              <w:rPr>
                <w:rFonts w:ascii="Times New Roman" w:hAnsi="Times New Roman"/>
                <w:color w:val="000000"/>
                <w:spacing w:val="-2"/>
              </w:rPr>
              <w:t> </w:t>
            </w:r>
            <w:r w:rsidRPr="00BA1463">
              <w:rPr>
                <w:rFonts w:ascii="Times New Roman" w:hAnsi="Times New Roman"/>
                <w:color w:val="000000"/>
                <w:spacing w:val="-2"/>
              </w:rPr>
              <w:t>paliwach alternatywnych. Jednak</w:t>
            </w:r>
            <w:r w:rsidR="00C05729" w:rsidRPr="00BA1463">
              <w:rPr>
                <w:rFonts w:ascii="Times New Roman" w:hAnsi="Times New Roman"/>
                <w:color w:val="000000"/>
                <w:spacing w:val="-2"/>
              </w:rPr>
              <w:t>że</w:t>
            </w:r>
            <w:r w:rsidR="00F76533" w:rsidRPr="00BA1463">
              <w:rPr>
                <w:rFonts w:ascii="Times New Roman" w:hAnsi="Times New Roman"/>
                <w:color w:val="000000"/>
                <w:spacing w:val="-2"/>
              </w:rPr>
              <w:t>,</w:t>
            </w:r>
            <w:r w:rsidRPr="00BA1463">
              <w:rPr>
                <w:rFonts w:ascii="Times New Roman" w:hAnsi="Times New Roman"/>
                <w:color w:val="000000"/>
                <w:spacing w:val="-2"/>
              </w:rPr>
              <w:t xml:space="preserve"> przeprowadzone analizy wskazują, iż przepisy te nie są wystarczające do osiągnięcia celów dyrektywy 2019/1161/UE.</w:t>
            </w:r>
            <w:r w:rsidR="00F76533" w:rsidRPr="00BA1463">
              <w:rPr>
                <w:rFonts w:ascii="Times New Roman" w:hAnsi="Times New Roman"/>
                <w:color w:val="000000"/>
                <w:spacing w:val="-2"/>
              </w:rPr>
              <w:t xml:space="preserve"> W związku z tym, w projekcie zaproponowano rozwiązania polegające, m.in., na:</w:t>
            </w:r>
          </w:p>
          <w:p w14:paraId="4FB5D7A0" w14:textId="082D0B44" w:rsidR="00BB6B3A" w:rsidRPr="00F76533" w:rsidRDefault="005C5C35" w:rsidP="00DD75C8">
            <w:pPr>
              <w:pStyle w:val="Akapitzlist"/>
              <w:numPr>
                <w:ilvl w:val="0"/>
                <w:numId w:val="39"/>
              </w:numPr>
              <w:spacing w:line="240" w:lineRule="auto"/>
              <w:ind w:left="772"/>
              <w:jc w:val="both"/>
              <w:rPr>
                <w:rFonts w:ascii="Times New Roman" w:hAnsi="Times New Roman"/>
                <w:color w:val="000000"/>
                <w:spacing w:val="-2"/>
              </w:rPr>
            </w:pPr>
            <w:r w:rsidRPr="00F76533">
              <w:rPr>
                <w:rFonts w:ascii="Times New Roman" w:hAnsi="Times New Roman"/>
                <w:color w:val="000000"/>
                <w:spacing w:val="-2"/>
              </w:rPr>
              <w:t xml:space="preserve">określeniu  </w:t>
            </w:r>
            <w:r w:rsidR="00BB6B3A" w:rsidRPr="00F76533">
              <w:rPr>
                <w:rFonts w:ascii="Times New Roman" w:hAnsi="Times New Roman"/>
                <w:color w:val="000000"/>
                <w:spacing w:val="-2"/>
              </w:rPr>
              <w:t>minimaln</w:t>
            </w:r>
            <w:r w:rsidRPr="00F76533">
              <w:rPr>
                <w:rFonts w:ascii="Times New Roman" w:hAnsi="Times New Roman"/>
                <w:color w:val="000000"/>
                <w:spacing w:val="-2"/>
              </w:rPr>
              <w:t>ych</w:t>
            </w:r>
            <w:r w:rsidR="00BB6B3A" w:rsidRPr="00F76533">
              <w:rPr>
                <w:rFonts w:ascii="Times New Roman" w:hAnsi="Times New Roman"/>
                <w:color w:val="000000"/>
                <w:spacing w:val="-2"/>
              </w:rPr>
              <w:t xml:space="preserve"> poziom</w:t>
            </w:r>
            <w:r w:rsidRPr="00F76533">
              <w:rPr>
                <w:rFonts w:ascii="Times New Roman" w:hAnsi="Times New Roman"/>
                <w:color w:val="000000"/>
                <w:spacing w:val="-2"/>
              </w:rPr>
              <w:t>ów</w:t>
            </w:r>
            <w:r w:rsidR="00BB6B3A" w:rsidRPr="00F76533">
              <w:rPr>
                <w:rFonts w:ascii="Times New Roman" w:hAnsi="Times New Roman"/>
                <w:color w:val="000000"/>
                <w:spacing w:val="-2"/>
              </w:rPr>
              <w:t xml:space="preserve"> docelow</w:t>
            </w:r>
            <w:r w:rsidRPr="00F76533">
              <w:rPr>
                <w:rFonts w:ascii="Times New Roman" w:hAnsi="Times New Roman"/>
                <w:color w:val="000000"/>
                <w:spacing w:val="-2"/>
              </w:rPr>
              <w:t>ych</w:t>
            </w:r>
            <w:r w:rsidR="00BB6B3A" w:rsidRPr="00F76533">
              <w:rPr>
                <w:rFonts w:ascii="Times New Roman" w:hAnsi="Times New Roman"/>
                <w:color w:val="000000"/>
                <w:spacing w:val="-2"/>
              </w:rPr>
              <w:t xml:space="preserve"> w zakresie udziału ekologicznie czystych pojazdów w całkowitej liczbie pojazdów objętych zamówieniami, które mają zostać osiągnięte w dwóch okresach odniesienia kończących się w 2025 r. i</w:t>
            </w:r>
            <w:r w:rsidR="00F36476" w:rsidRPr="00F76533">
              <w:rPr>
                <w:rFonts w:ascii="Times New Roman" w:hAnsi="Times New Roman"/>
                <w:color w:val="000000"/>
                <w:spacing w:val="-2"/>
              </w:rPr>
              <w:t> </w:t>
            </w:r>
            <w:r w:rsidR="00BB6B3A" w:rsidRPr="00F76533">
              <w:rPr>
                <w:rFonts w:ascii="Times New Roman" w:hAnsi="Times New Roman"/>
                <w:color w:val="000000"/>
                <w:spacing w:val="-2"/>
              </w:rPr>
              <w:t>w 2030 r.</w:t>
            </w:r>
            <w:r w:rsidR="00C05729" w:rsidRPr="00F76533">
              <w:rPr>
                <w:rFonts w:ascii="Times New Roman" w:hAnsi="Times New Roman"/>
                <w:color w:val="000000"/>
                <w:spacing w:val="-2"/>
              </w:rPr>
              <w:t>,</w:t>
            </w:r>
          </w:p>
          <w:p w14:paraId="0E1DE4A1" w14:textId="4315E966" w:rsidR="00BB6B3A" w:rsidRPr="00F76533" w:rsidRDefault="005C5C35" w:rsidP="00DD75C8">
            <w:pPr>
              <w:pStyle w:val="Akapitzlist"/>
              <w:numPr>
                <w:ilvl w:val="0"/>
                <w:numId w:val="39"/>
              </w:numPr>
              <w:spacing w:line="240" w:lineRule="auto"/>
              <w:ind w:left="772"/>
              <w:jc w:val="both"/>
              <w:rPr>
                <w:rFonts w:ascii="Times New Roman" w:hAnsi="Times New Roman"/>
                <w:color w:val="000000"/>
                <w:spacing w:val="-2"/>
              </w:rPr>
            </w:pPr>
            <w:r w:rsidRPr="00F76533">
              <w:rPr>
                <w:rFonts w:ascii="Times New Roman" w:hAnsi="Times New Roman"/>
                <w:color w:val="000000"/>
                <w:spacing w:val="-2"/>
              </w:rPr>
              <w:t>n</w:t>
            </w:r>
            <w:r w:rsidR="00BB6B3A" w:rsidRPr="00F76533">
              <w:rPr>
                <w:rFonts w:ascii="Times New Roman" w:hAnsi="Times New Roman"/>
                <w:color w:val="000000"/>
                <w:spacing w:val="-2"/>
              </w:rPr>
              <w:t>a</w:t>
            </w:r>
            <w:r w:rsidRPr="00F76533">
              <w:rPr>
                <w:rFonts w:ascii="Times New Roman" w:hAnsi="Times New Roman"/>
                <w:color w:val="000000"/>
                <w:spacing w:val="-2"/>
              </w:rPr>
              <w:t>łożeniu</w:t>
            </w:r>
            <w:r w:rsidR="00BB6B3A" w:rsidRPr="00F76533">
              <w:rPr>
                <w:rFonts w:ascii="Times New Roman" w:hAnsi="Times New Roman"/>
                <w:color w:val="000000"/>
                <w:spacing w:val="-2"/>
              </w:rPr>
              <w:t xml:space="preserve"> now</w:t>
            </w:r>
            <w:r w:rsidRPr="00F76533">
              <w:rPr>
                <w:rFonts w:ascii="Times New Roman" w:hAnsi="Times New Roman"/>
                <w:color w:val="000000"/>
                <w:spacing w:val="-2"/>
              </w:rPr>
              <w:t>ych</w:t>
            </w:r>
            <w:r w:rsidR="00BB6B3A" w:rsidRPr="00F76533">
              <w:rPr>
                <w:rFonts w:ascii="Times New Roman" w:hAnsi="Times New Roman"/>
                <w:color w:val="000000"/>
                <w:spacing w:val="-2"/>
              </w:rPr>
              <w:t xml:space="preserve"> obowiązk</w:t>
            </w:r>
            <w:r w:rsidRPr="00F76533">
              <w:rPr>
                <w:rFonts w:ascii="Times New Roman" w:hAnsi="Times New Roman"/>
                <w:color w:val="000000"/>
                <w:spacing w:val="-2"/>
              </w:rPr>
              <w:t>ów</w:t>
            </w:r>
            <w:r w:rsidR="00BB6B3A" w:rsidRPr="00F76533">
              <w:rPr>
                <w:rFonts w:ascii="Times New Roman" w:hAnsi="Times New Roman"/>
                <w:color w:val="000000"/>
                <w:spacing w:val="-2"/>
              </w:rPr>
              <w:t xml:space="preserve"> na zamawiających (publicznych i sektorowych), w tym organizatorów publicznego transportu zbiorowego, w zakresie uzyskania minimalnych poziomów docelowych, jak i </w:t>
            </w:r>
            <w:r w:rsidRPr="00F76533">
              <w:rPr>
                <w:rFonts w:ascii="Times New Roman" w:hAnsi="Times New Roman"/>
                <w:color w:val="000000"/>
                <w:spacing w:val="-2"/>
              </w:rPr>
              <w:t xml:space="preserve">nałożeniu </w:t>
            </w:r>
            <w:r w:rsidR="00BB6B3A" w:rsidRPr="00F76533">
              <w:rPr>
                <w:rFonts w:ascii="Times New Roman" w:hAnsi="Times New Roman"/>
                <w:color w:val="000000"/>
                <w:spacing w:val="-2"/>
              </w:rPr>
              <w:t>obowiązk</w:t>
            </w:r>
            <w:r w:rsidRPr="00F76533">
              <w:rPr>
                <w:rFonts w:ascii="Times New Roman" w:hAnsi="Times New Roman"/>
                <w:color w:val="000000"/>
                <w:spacing w:val="-2"/>
              </w:rPr>
              <w:t>ów</w:t>
            </w:r>
            <w:r w:rsidR="00BB6B3A" w:rsidRPr="00F76533">
              <w:rPr>
                <w:rFonts w:ascii="Times New Roman" w:hAnsi="Times New Roman"/>
                <w:color w:val="000000"/>
                <w:spacing w:val="-2"/>
              </w:rPr>
              <w:t xml:space="preserve"> informacyjn</w:t>
            </w:r>
            <w:r w:rsidRPr="00F76533">
              <w:rPr>
                <w:rFonts w:ascii="Times New Roman" w:hAnsi="Times New Roman"/>
                <w:color w:val="000000"/>
                <w:spacing w:val="-2"/>
              </w:rPr>
              <w:t>ych</w:t>
            </w:r>
            <w:r w:rsidR="00BB6B3A" w:rsidRPr="00F76533">
              <w:rPr>
                <w:rFonts w:ascii="Times New Roman" w:hAnsi="Times New Roman"/>
                <w:color w:val="000000"/>
                <w:spacing w:val="-2"/>
              </w:rPr>
              <w:t>/</w:t>
            </w:r>
            <w:r w:rsidR="00FB152F" w:rsidRPr="00F76533">
              <w:rPr>
                <w:rFonts w:ascii="Times New Roman" w:hAnsi="Times New Roman"/>
                <w:color w:val="000000"/>
                <w:spacing w:val="-2"/>
              </w:rPr>
              <w:t xml:space="preserve"> </w:t>
            </w:r>
            <w:r w:rsidR="00BB6B3A" w:rsidRPr="00F76533">
              <w:rPr>
                <w:rFonts w:ascii="Times New Roman" w:hAnsi="Times New Roman"/>
                <w:color w:val="000000"/>
                <w:spacing w:val="-2"/>
              </w:rPr>
              <w:t>sprawozdawcz</w:t>
            </w:r>
            <w:r w:rsidRPr="00F76533">
              <w:rPr>
                <w:rFonts w:ascii="Times New Roman" w:hAnsi="Times New Roman"/>
                <w:color w:val="000000"/>
                <w:spacing w:val="-2"/>
              </w:rPr>
              <w:t>ych</w:t>
            </w:r>
            <w:r w:rsidR="00BB6B3A" w:rsidRPr="00F76533">
              <w:rPr>
                <w:rFonts w:ascii="Times New Roman" w:hAnsi="Times New Roman"/>
                <w:color w:val="000000"/>
                <w:spacing w:val="-2"/>
              </w:rPr>
              <w:t xml:space="preserve"> w tym zakresie. </w:t>
            </w:r>
          </w:p>
          <w:p w14:paraId="2BD89D40" w14:textId="3AA7C2A6" w:rsidR="008D57F3" w:rsidRDefault="00BB6B3A" w:rsidP="00DD75C8">
            <w:pPr>
              <w:spacing w:line="240" w:lineRule="auto"/>
              <w:ind w:left="347"/>
              <w:jc w:val="both"/>
              <w:rPr>
                <w:rFonts w:ascii="Times New Roman" w:hAnsi="Times New Roman"/>
                <w:color w:val="000000"/>
                <w:spacing w:val="-2"/>
              </w:rPr>
            </w:pPr>
            <w:r w:rsidRPr="0050413F">
              <w:rPr>
                <w:rFonts w:ascii="Times New Roman" w:hAnsi="Times New Roman"/>
                <w:color w:val="000000"/>
                <w:spacing w:val="-2"/>
              </w:rPr>
              <w:t xml:space="preserve">Oczekiwanym efektem jest pobudzenie rynku </w:t>
            </w:r>
            <w:r w:rsidR="006E54BC" w:rsidRPr="0050413F">
              <w:rPr>
                <w:rFonts w:ascii="Times New Roman" w:hAnsi="Times New Roman"/>
                <w:color w:val="000000"/>
                <w:spacing w:val="-2"/>
              </w:rPr>
              <w:t>ekologicznie czystych i energooszczędnych</w:t>
            </w:r>
            <w:r w:rsidRPr="0050413F">
              <w:rPr>
                <w:rFonts w:ascii="Times New Roman" w:hAnsi="Times New Roman"/>
                <w:color w:val="000000"/>
                <w:spacing w:val="-2"/>
              </w:rPr>
              <w:t xml:space="preserve"> pojazdów transportu drogowego poprzez stworzenie bodźców po stronie popytu na takie pojazdy</w:t>
            </w:r>
            <w:r w:rsidR="00900327">
              <w:rPr>
                <w:rFonts w:ascii="Times New Roman" w:hAnsi="Times New Roman"/>
                <w:color w:val="000000"/>
                <w:spacing w:val="-2"/>
              </w:rPr>
              <w:t>;</w:t>
            </w:r>
          </w:p>
          <w:p w14:paraId="15F83DBA" w14:textId="4D486EF3" w:rsidR="00900327" w:rsidRPr="0050413F" w:rsidRDefault="00900327" w:rsidP="00DD75C8">
            <w:pPr>
              <w:spacing w:line="240" w:lineRule="auto"/>
              <w:ind w:left="347"/>
              <w:jc w:val="both"/>
              <w:rPr>
                <w:rFonts w:ascii="Times New Roman" w:hAnsi="Times New Roman"/>
                <w:color w:val="000000"/>
                <w:spacing w:val="-2"/>
              </w:rPr>
            </w:pPr>
            <w:r w:rsidRPr="00900327">
              <w:rPr>
                <w:rFonts w:ascii="Times New Roman" w:hAnsi="Times New Roman"/>
                <w:color w:val="000000"/>
                <w:spacing w:val="-2"/>
              </w:rPr>
              <w:t>Należy zwrócić uwagę, że aby zrealizować krajowe zobowiązania na rzecz redukcji emisji w zakresie, m.in. NOx i pyłów, konieczne jest wprowadzenie dodatkowych działań w sektorze szeroko rozumianego transportu, a w szczególności transportu drogowego,  który odpowiada za znaczną ilość emisji tlenków azotu i pyłu. Proponowana zmiana jest zgodna z dotychczasową polityką Rządu RP w zakresie zarówno rozwoju elektromobilności, ale także założeniami w zakresie zmniejszania poziomu zanieczyszczenia powietrza w Polsce.</w:t>
            </w:r>
          </w:p>
          <w:p w14:paraId="7F425B73" w14:textId="03CCA546" w:rsidR="00F76533" w:rsidRDefault="00DD75C8" w:rsidP="00DD75C8">
            <w:pPr>
              <w:pStyle w:val="ARTartustawynprozporzdzenia"/>
              <w:spacing w:before="0" w:line="240" w:lineRule="auto"/>
              <w:ind w:left="720" w:hanging="657"/>
              <w:rPr>
                <w:rFonts w:ascii="Times New Roman" w:hAnsi="Times New Roman" w:cs="Times New Roman"/>
                <w:sz w:val="22"/>
                <w:szCs w:val="22"/>
              </w:rPr>
            </w:pPr>
            <w:r>
              <w:rPr>
                <w:rFonts w:ascii="Times New Roman" w:hAnsi="Times New Roman" w:cs="Times New Roman"/>
                <w:sz w:val="22"/>
                <w:szCs w:val="22"/>
              </w:rPr>
              <w:t xml:space="preserve">2) </w:t>
            </w:r>
            <w:r w:rsidR="00033D31" w:rsidRPr="0050413F">
              <w:rPr>
                <w:rFonts w:ascii="Times New Roman" w:hAnsi="Times New Roman" w:cs="Times New Roman"/>
                <w:sz w:val="22"/>
                <w:szCs w:val="22"/>
              </w:rPr>
              <w:t xml:space="preserve">Dyrektywa 2019/944 </w:t>
            </w:r>
          </w:p>
          <w:p w14:paraId="13552520" w14:textId="77777777" w:rsidR="00F32A53" w:rsidRDefault="00F76533" w:rsidP="00DD75C8">
            <w:pPr>
              <w:pStyle w:val="ARTartustawynprozporzdzenia"/>
              <w:spacing w:before="0" w:line="240" w:lineRule="auto"/>
              <w:ind w:left="347" w:firstLine="0"/>
              <w:rPr>
                <w:rFonts w:ascii="Times New Roman" w:hAnsi="Times New Roman" w:cs="Times New Roman"/>
                <w:sz w:val="22"/>
                <w:szCs w:val="22"/>
              </w:rPr>
            </w:pPr>
            <w:r>
              <w:rPr>
                <w:rFonts w:ascii="Times New Roman" w:hAnsi="Times New Roman" w:cs="Times New Roman"/>
                <w:sz w:val="22"/>
                <w:szCs w:val="22"/>
              </w:rPr>
              <w:t xml:space="preserve">Projekt wdraża to krajowego porządku prawnego art. 33 przedmiotowej dyrektywy określający zakres działań jakie operator systemu dystrybucyjnego elektroenergetycznego może podejmować w zakresie funkcjonowania punktów ładowania (w systematyce pojęciowej ustawy – ogólnodostępnych stacji ładowania). Zgodnie z dyrektywą, OSDe, co do zasady, </w:t>
            </w:r>
            <w:r w:rsidRPr="00F76533">
              <w:rPr>
                <w:rFonts w:ascii="Times New Roman" w:hAnsi="Times New Roman" w:cs="Times New Roman"/>
                <w:sz w:val="22"/>
                <w:szCs w:val="22"/>
              </w:rPr>
              <w:t>nie mogą być właścicielami, tworzyć ani obsługiwać punktów ładowania pojazdów elektrycznych, ani zarządzać takimi punktami, z wyjątkiem przypadków gdy operatorzy systemów dystrybucyjnych są właścicielami prywatnych punktów ładowania wyłącznie na własny użytek.</w:t>
            </w:r>
            <w:r>
              <w:rPr>
                <w:rFonts w:ascii="Times New Roman" w:hAnsi="Times New Roman" w:cs="Times New Roman"/>
                <w:sz w:val="22"/>
                <w:szCs w:val="22"/>
              </w:rPr>
              <w:t xml:space="preserve"> Ponadto, dyrektywa stanowi, że państwo członkowskie może, pod ściśle określonymi warunkami pozwolić tym podmiotom na prowadzenie przedmiotowych działalności </w:t>
            </w:r>
            <w:r w:rsidR="00F32A53">
              <w:rPr>
                <w:rFonts w:ascii="Times New Roman" w:hAnsi="Times New Roman" w:cs="Times New Roman"/>
                <w:sz w:val="22"/>
                <w:szCs w:val="22"/>
              </w:rPr>
              <w:t>jednakże zobowiązuje wówczas państwa członkowskie do podejmowania działań mających na celu stopniowe wycofywanie się OSDe z tego rynku. Mając na uwadze powyższe, jak również zasady niełączenia działalności przez operatorów określone w ustawie z dnia 10 kwietnia 1997 r. – prawo energetyczne, w projekcie zaproponowano następujące rozwiązania:</w:t>
            </w:r>
          </w:p>
          <w:p w14:paraId="5394ABA7" w14:textId="5C3262F5" w:rsidR="00F32A53" w:rsidRDefault="00F32A53" w:rsidP="00DD75C8">
            <w:pPr>
              <w:pStyle w:val="ARTartustawynprozporzdzenia"/>
              <w:numPr>
                <w:ilvl w:val="0"/>
                <w:numId w:val="45"/>
              </w:numPr>
              <w:spacing w:before="0" w:line="240" w:lineRule="auto"/>
              <w:rPr>
                <w:rFonts w:ascii="Times New Roman" w:hAnsi="Times New Roman" w:cs="Times New Roman"/>
                <w:sz w:val="22"/>
                <w:szCs w:val="22"/>
              </w:rPr>
            </w:pPr>
            <w:r>
              <w:rPr>
                <w:rFonts w:ascii="Times New Roman" w:hAnsi="Times New Roman" w:cs="Times New Roman"/>
                <w:sz w:val="22"/>
                <w:szCs w:val="22"/>
              </w:rPr>
              <w:t>wprowadzono dla OSDe wyraźny zakaz bycia właścicielem lub operatorem ogólnodostępnej stacji ładowania, jak również dostawcą usługi ładowania na takiej stacji (zastosowana terminologia odwołująca się do dostawcy i operaotra odpowiada zakresowi czynności wskazanemu w dyrektywie),</w:t>
            </w:r>
          </w:p>
          <w:p w14:paraId="56AA4E68" w14:textId="0B15B68B" w:rsidR="00F32A53" w:rsidRDefault="00F32A53" w:rsidP="00DD75C8">
            <w:pPr>
              <w:pStyle w:val="ARTartustawynprozporzdzenia"/>
              <w:numPr>
                <w:ilvl w:val="0"/>
                <w:numId w:val="45"/>
              </w:numPr>
              <w:spacing w:before="0" w:line="240" w:lineRule="auto"/>
              <w:rPr>
                <w:rFonts w:ascii="Times New Roman" w:hAnsi="Times New Roman" w:cs="Times New Roman"/>
                <w:sz w:val="22"/>
                <w:szCs w:val="22"/>
              </w:rPr>
            </w:pPr>
            <w:r>
              <w:rPr>
                <w:rFonts w:ascii="Times New Roman" w:hAnsi="Times New Roman" w:cs="Times New Roman"/>
                <w:sz w:val="22"/>
                <w:szCs w:val="22"/>
              </w:rPr>
              <w:t>w ograniczonym stopniu zdecydowano się na wprowadzenie wyjątku dopuszczanego przez dyrektywę, mianowicie, po spełnieniu określonych w ustawie warunków OSDe będzie mógł być właścicielem stacji ładowania, przy czym, wyjątek dotyczy wyłącznie stacji istniejących, spod zakazu nie jest wyłączona budowa nowych stacji (która kwalifikowałaby OSDe jako operatora),</w:t>
            </w:r>
          </w:p>
          <w:p w14:paraId="0C2D2919" w14:textId="5B08982F" w:rsidR="00033D31" w:rsidRDefault="00F32A53" w:rsidP="00DD75C8">
            <w:pPr>
              <w:pStyle w:val="ARTartustawynprozporzdzenia"/>
              <w:numPr>
                <w:ilvl w:val="0"/>
                <w:numId w:val="45"/>
              </w:numPr>
              <w:spacing w:before="0" w:line="240" w:lineRule="auto"/>
              <w:rPr>
                <w:rFonts w:ascii="Times New Roman" w:hAnsi="Times New Roman" w:cs="Times New Roman"/>
                <w:sz w:val="22"/>
                <w:szCs w:val="22"/>
              </w:rPr>
            </w:pPr>
            <w:r>
              <w:rPr>
                <w:rFonts w:ascii="Times New Roman" w:hAnsi="Times New Roman" w:cs="Times New Roman"/>
                <w:sz w:val="22"/>
                <w:szCs w:val="22"/>
              </w:rPr>
              <w:t>określono zasady stopniowego wycofywania si</w:t>
            </w:r>
            <w:r w:rsidR="00900327">
              <w:rPr>
                <w:rFonts w:ascii="Times New Roman" w:hAnsi="Times New Roman" w:cs="Times New Roman"/>
                <w:sz w:val="22"/>
                <w:szCs w:val="22"/>
              </w:rPr>
              <w:t>ę OSDe z rynku stacji ładowania;</w:t>
            </w:r>
          </w:p>
          <w:p w14:paraId="195C2E73" w14:textId="6E961E5A" w:rsidR="00900327" w:rsidRDefault="00DD75C8" w:rsidP="00DD75C8">
            <w:pPr>
              <w:pStyle w:val="ARTartustawynprozporzdzenia"/>
              <w:spacing w:before="0" w:line="240" w:lineRule="auto"/>
              <w:ind w:left="205" w:firstLine="0"/>
              <w:rPr>
                <w:rFonts w:ascii="Times New Roman" w:hAnsi="Times New Roman" w:cs="Times New Roman"/>
                <w:sz w:val="22"/>
                <w:szCs w:val="22"/>
              </w:rPr>
            </w:pPr>
            <w:r>
              <w:rPr>
                <w:rFonts w:ascii="Times New Roman" w:hAnsi="Times New Roman" w:cs="Times New Roman"/>
                <w:sz w:val="22"/>
                <w:szCs w:val="22"/>
              </w:rPr>
              <w:t xml:space="preserve">3) </w:t>
            </w:r>
            <w:r w:rsidR="00900327">
              <w:rPr>
                <w:rFonts w:ascii="Times New Roman" w:hAnsi="Times New Roman" w:cs="Times New Roman"/>
                <w:sz w:val="22"/>
                <w:szCs w:val="22"/>
              </w:rPr>
              <w:t>Dyrektywa 2018/844</w:t>
            </w:r>
          </w:p>
          <w:p w14:paraId="68FF4BB4" w14:textId="3204A1DF" w:rsidR="004A08DC" w:rsidRDefault="004A08DC" w:rsidP="00DD75C8">
            <w:pPr>
              <w:spacing w:line="240" w:lineRule="auto"/>
              <w:ind w:left="489"/>
              <w:contextualSpacing/>
              <w:jc w:val="both"/>
              <w:rPr>
                <w:rFonts w:ascii="Times New Roman" w:hAnsi="Times New Roman"/>
                <w:spacing w:val="-2"/>
              </w:rPr>
            </w:pPr>
            <w:r>
              <w:rPr>
                <w:rFonts w:ascii="Times New Roman" w:hAnsi="Times New Roman"/>
                <w:spacing w:val="-2"/>
              </w:rPr>
              <w:t xml:space="preserve">Proponowana </w:t>
            </w:r>
            <w:r w:rsidR="00900327">
              <w:rPr>
                <w:rFonts w:ascii="Times New Roman" w:hAnsi="Times New Roman"/>
                <w:spacing w:val="-2"/>
              </w:rPr>
              <w:t xml:space="preserve">w tym zakresie </w:t>
            </w:r>
            <w:r>
              <w:rPr>
                <w:rFonts w:ascii="Times New Roman" w:hAnsi="Times New Roman"/>
                <w:spacing w:val="-2"/>
              </w:rPr>
              <w:t xml:space="preserve">zmiana ustawy z dnia 11 stycznia 2018 r. o elektromobilności i paliwach alternatywnych, polega na dodaniu art. </w:t>
            </w:r>
            <w:r w:rsidR="00900327">
              <w:rPr>
                <w:rFonts w:ascii="Times New Roman" w:hAnsi="Times New Roman"/>
                <w:spacing w:val="-2"/>
              </w:rPr>
              <w:t>12c</w:t>
            </w:r>
            <w:r>
              <w:rPr>
                <w:rFonts w:ascii="Times New Roman" w:hAnsi="Times New Roman"/>
                <w:spacing w:val="-2"/>
              </w:rPr>
              <w:t xml:space="preserve">, który to przepis </w:t>
            </w:r>
            <w:r w:rsidR="00900327">
              <w:rPr>
                <w:rFonts w:ascii="Times New Roman" w:hAnsi="Times New Roman"/>
                <w:spacing w:val="-2"/>
              </w:rPr>
              <w:t>określa</w:t>
            </w:r>
            <w:r>
              <w:rPr>
                <w:rFonts w:ascii="Times New Roman" w:hAnsi="Times New Roman"/>
                <w:spacing w:val="-2"/>
              </w:rPr>
              <w:t xml:space="preserve"> wymagania spójne z wymaganiami określonymi w art. 8 dyrektywy Parlamentu Europejskiego i Rady  2010/31/UE z dnia 19 maja 2010 r. w sprawie charakterystyki energetycznej budynków, nadanym brzmieniem dyrektywy 2018/844.</w:t>
            </w:r>
          </w:p>
          <w:p w14:paraId="2195AE6E" w14:textId="3DCCBC88" w:rsidR="004A08DC" w:rsidRPr="0050413F" w:rsidRDefault="004A08DC" w:rsidP="00DD75C8">
            <w:pPr>
              <w:spacing w:line="240" w:lineRule="auto"/>
              <w:ind w:left="489"/>
              <w:jc w:val="both"/>
              <w:rPr>
                <w:rFonts w:ascii="Times New Roman" w:hAnsi="Times New Roman"/>
              </w:rPr>
            </w:pPr>
            <w:r>
              <w:rPr>
                <w:rFonts w:ascii="Times New Roman" w:hAnsi="Times New Roman"/>
                <w:spacing w:val="-2"/>
              </w:rPr>
              <w:t xml:space="preserve">Mając na uwadze zakres </w:t>
            </w:r>
            <w:r w:rsidR="00900327">
              <w:rPr>
                <w:rFonts w:ascii="Times New Roman" w:hAnsi="Times New Roman"/>
                <w:spacing w:val="-2"/>
              </w:rPr>
              <w:t xml:space="preserve">przedmiotowy </w:t>
            </w:r>
            <w:r>
              <w:rPr>
                <w:rFonts w:ascii="Times New Roman" w:hAnsi="Times New Roman"/>
                <w:spacing w:val="-2"/>
              </w:rPr>
              <w:t>ustawy z dnia 11 stycznia 2018 r. o elektromobilności i paliwach alternatywnych, w</w:t>
            </w:r>
            <w:r w:rsidR="008C2523">
              <w:rPr>
                <w:rFonts w:ascii="Times New Roman" w:hAnsi="Times New Roman"/>
                <w:spacing w:val="-2"/>
              </w:rPr>
              <w:t> </w:t>
            </w:r>
            <w:r>
              <w:rPr>
                <w:rFonts w:ascii="Times New Roman" w:hAnsi="Times New Roman"/>
                <w:spacing w:val="-2"/>
              </w:rPr>
              <w:t xml:space="preserve">opinii projektodawcy, dodanie przepisów dotyczących wymagań stawianych budynkom w zakresie rozwoju infrastruktury niezbędnej na potrzeby ładowania pojazdów elektrycznych stanowić będzie spójne i kompleksowe podejście do przedmiotowego tematu. </w:t>
            </w:r>
          </w:p>
        </w:tc>
      </w:tr>
      <w:tr w:rsidR="006A701A" w:rsidRPr="0050413F" w14:paraId="532FC947" w14:textId="77777777" w:rsidTr="00676C8D">
        <w:trPr>
          <w:gridAfter w:val="1"/>
          <w:wAfter w:w="10" w:type="dxa"/>
          <w:trHeight w:val="307"/>
        </w:trPr>
        <w:tc>
          <w:tcPr>
            <w:tcW w:w="10937" w:type="dxa"/>
            <w:gridSpan w:val="29"/>
            <w:shd w:val="clear" w:color="auto" w:fill="99CCFF"/>
            <w:vAlign w:val="center"/>
          </w:tcPr>
          <w:p w14:paraId="000B790E" w14:textId="77777777" w:rsidR="006A701A" w:rsidRPr="0050413F" w:rsidRDefault="009E3C4B" w:rsidP="0050413F">
            <w:pPr>
              <w:numPr>
                <w:ilvl w:val="0"/>
                <w:numId w:val="3"/>
              </w:numPr>
              <w:spacing w:line="240" w:lineRule="auto"/>
              <w:ind w:left="318" w:hanging="284"/>
              <w:jc w:val="both"/>
              <w:rPr>
                <w:rFonts w:ascii="Times New Roman" w:hAnsi="Times New Roman"/>
                <w:b/>
                <w:color w:val="000000"/>
              </w:rPr>
            </w:pPr>
            <w:r w:rsidRPr="0050413F">
              <w:rPr>
                <w:rFonts w:ascii="Times New Roman" w:hAnsi="Times New Roman"/>
                <w:b/>
                <w:spacing w:val="-2"/>
              </w:rPr>
              <w:lastRenderedPageBreak/>
              <w:t>Jak problem został rozwiązany w innych krajach, w szczególności krajach członkowskich OECD/UE</w:t>
            </w:r>
            <w:r w:rsidR="006A701A" w:rsidRPr="0050413F">
              <w:rPr>
                <w:rFonts w:ascii="Times New Roman" w:hAnsi="Times New Roman"/>
                <w:b/>
                <w:color w:val="000000"/>
              </w:rPr>
              <w:t>?</w:t>
            </w:r>
            <w:r w:rsidR="006A701A" w:rsidRPr="0050413F">
              <w:rPr>
                <w:rFonts w:ascii="Times New Roman" w:hAnsi="Times New Roman"/>
                <w:i/>
                <w:color w:val="000000"/>
              </w:rPr>
              <w:t xml:space="preserve"> </w:t>
            </w:r>
          </w:p>
        </w:tc>
      </w:tr>
      <w:tr w:rsidR="006A701A" w:rsidRPr="0050413F" w14:paraId="688AB6D4" w14:textId="77777777" w:rsidTr="00676C8D">
        <w:trPr>
          <w:gridAfter w:val="1"/>
          <w:wAfter w:w="10" w:type="dxa"/>
          <w:trHeight w:val="142"/>
        </w:trPr>
        <w:tc>
          <w:tcPr>
            <w:tcW w:w="10937" w:type="dxa"/>
            <w:gridSpan w:val="29"/>
            <w:shd w:val="clear" w:color="auto" w:fill="auto"/>
          </w:tcPr>
          <w:p w14:paraId="6B4995AA" w14:textId="77777777" w:rsidR="006A701A" w:rsidRPr="0050413F" w:rsidRDefault="008D3B73"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„Europejska strategia na rzecz mobilności niskoemisyjnej” podkreśla konieczność dekarbonizacji sektora transportu oraz zmniejszenia emisji w tym sektorze, zwłaszcza na obszarach miejskich, wskazuje także na istotną rolę, jaką elektromobilnoś</w:t>
            </w:r>
            <w:r w:rsidR="005C5C35" w:rsidRPr="0050413F">
              <w:rPr>
                <w:rFonts w:ascii="Times New Roman" w:hAnsi="Times New Roman"/>
                <w:color w:val="000000"/>
                <w:spacing w:val="-2"/>
              </w:rPr>
              <w:t>ć</w:t>
            </w:r>
            <w:r w:rsidRPr="0050413F">
              <w:rPr>
                <w:rFonts w:ascii="Times New Roman" w:hAnsi="Times New Roman"/>
                <w:color w:val="000000"/>
                <w:spacing w:val="-2"/>
              </w:rPr>
              <w:t xml:space="preserve"> może odegrać w osiąganiu tych celów. Wdrażanie elektromobilności stanowi ponadto ważny element transformacji energetyki.</w:t>
            </w:r>
          </w:p>
          <w:p w14:paraId="00FF7F51" w14:textId="06694E4E" w:rsidR="00363309" w:rsidRPr="0050413F" w:rsidRDefault="008D3B73" w:rsidP="0050413F">
            <w:pPr>
              <w:spacing w:line="240" w:lineRule="auto"/>
              <w:jc w:val="both"/>
              <w:rPr>
                <w:rFonts w:ascii="Times New Roman" w:hAnsi="Times New Roman"/>
                <w:bCs/>
                <w:color w:val="000000"/>
                <w:spacing w:val="-2"/>
              </w:rPr>
            </w:pPr>
            <w:r w:rsidRPr="0050413F">
              <w:rPr>
                <w:rFonts w:ascii="Times New Roman" w:hAnsi="Times New Roman"/>
                <w:bCs/>
                <w:color w:val="000000"/>
                <w:spacing w:val="-2"/>
              </w:rPr>
              <w:t>Mechanizmy wsparcia rozwoju elektromobilności polegające</w:t>
            </w:r>
            <w:r w:rsidR="00900327">
              <w:rPr>
                <w:rFonts w:ascii="Times New Roman" w:hAnsi="Times New Roman"/>
                <w:bCs/>
                <w:color w:val="000000"/>
                <w:spacing w:val="-2"/>
              </w:rPr>
              <w:t>,</w:t>
            </w:r>
            <w:r w:rsidRPr="0050413F">
              <w:rPr>
                <w:rFonts w:ascii="Times New Roman" w:hAnsi="Times New Roman"/>
                <w:bCs/>
                <w:color w:val="000000"/>
                <w:spacing w:val="-2"/>
              </w:rPr>
              <w:t xml:space="preserve"> np. na zwolnieniach z</w:t>
            </w:r>
            <w:r w:rsidR="00F36476" w:rsidRPr="0050413F">
              <w:rPr>
                <w:rFonts w:ascii="Times New Roman" w:hAnsi="Times New Roman"/>
                <w:bCs/>
                <w:color w:val="000000"/>
                <w:spacing w:val="-2"/>
              </w:rPr>
              <w:t> </w:t>
            </w:r>
            <w:r w:rsidRPr="0050413F">
              <w:rPr>
                <w:rFonts w:ascii="Times New Roman" w:hAnsi="Times New Roman"/>
                <w:bCs/>
                <w:color w:val="000000"/>
                <w:spacing w:val="-2"/>
              </w:rPr>
              <w:t>podatków drogowych, podatków rejestracyjnych, korzyściach finansowych, możliwość bezpłatnego parkowania w</w:t>
            </w:r>
            <w:r w:rsidR="00F36476" w:rsidRPr="0050413F">
              <w:rPr>
                <w:rFonts w:ascii="Times New Roman" w:hAnsi="Times New Roman"/>
                <w:bCs/>
                <w:color w:val="000000"/>
                <w:spacing w:val="-2"/>
              </w:rPr>
              <w:t> </w:t>
            </w:r>
            <w:r w:rsidRPr="0050413F">
              <w:rPr>
                <w:rFonts w:ascii="Times New Roman" w:hAnsi="Times New Roman"/>
                <w:bCs/>
                <w:color w:val="000000"/>
                <w:spacing w:val="-2"/>
              </w:rPr>
              <w:t xml:space="preserve">miastach, tworzeniu stref niskiej emisji są </w:t>
            </w:r>
            <w:r w:rsidRPr="0050413F">
              <w:rPr>
                <w:rFonts w:ascii="Times New Roman" w:hAnsi="Times New Roman"/>
                <w:bCs/>
                <w:color w:val="000000"/>
                <w:spacing w:val="-2"/>
              </w:rPr>
              <w:lastRenderedPageBreak/>
              <w:t>stosowane w większości krajów Unii Europejskiej. Wyróżnić tu można kraje</w:t>
            </w:r>
            <w:r w:rsidR="005C5C35" w:rsidRPr="0050413F">
              <w:rPr>
                <w:rFonts w:ascii="Times New Roman" w:hAnsi="Times New Roman"/>
                <w:bCs/>
                <w:color w:val="000000"/>
                <w:spacing w:val="-2"/>
              </w:rPr>
              <w:t>,</w:t>
            </w:r>
            <w:r w:rsidRPr="0050413F">
              <w:rPr>
                <w:rFonts w:ascii="Times New Roman" w:hAnsi="Times New Roman"/>
                <w:bCs/>
                <w:color w:val="000000"/>
                <w:spacing w:val="-2"/>
              </w:rPr>
              <w:t xml:space="preserve"> które dążą do jak najszybszego rozwoju elektromobilności</w:t>
            </w:r>
            <w:r w:rsidR="00AA2242" w:rsidRPr="0050413F">
              <w:rPr>
                <w:rFonts w:ascii="Times New Roman" w:hAnsi="Times New Roman"/>
                <w:bCs/>
                <w:color w:val="000000"/>
                <w:spacing w:val="-2"/>
              </w:rPr>
              <w:t>, takie</w:t>
            </w:r>
            <w:r w:rsidRPr="0050413F">
              <w:rPr>
                <w:rFonts w:ascii="Times New Roman" w:hAnsi="Times New Roman"/>
                <w:bCs/>
                <w:color w:val="000000"/>
                <w:spacing w:val="-2"/>
              </w:rPr>
              <w:t xml:space="preserve"> jak Niemcy, Francja, Włochy, Hiszpania.</w:t>
            </w:r>
          </w:p>
          <w:p w14:paraId="4FB43D95" w14:textId="77777777" w:rsidR="00A23D3E" w:rsidRDefault="00A23D3E" w:rsidP="0050413F">
            <w:pPr>
              <w:spacing w:line="240" w:lineRule="auto"/>
              <w:jc w:val="both"/>
              <w:rPr>
                <w:rFonts w:ascii="Times New Roman" w:hAnsi="Times New Roman"/>
                <w:bCs/>
                <w:color w:val="000000"/>
                <w:spacing w:val="-2"/>
              </w:rPr>
            </w:pPr>
          </w:p>
          <w:p w14:paraId="3CE91072" w14:textId="5AED7FB3" w:rsidR="006A701A" w:rsidRDefault="00DB6642" w:rsidP="0050413F">
            <w:pPr>
              <w:spacing w:line="240" w:lineRule="auto"/>
              <w:jc w:val="both"/>
              <w:rPr>
                <w:rFonts w:ascii="Times New Roman" w:hAnsi="Times New Roman"/>
                <w:bCs/>
                <w:color w:val="000000"/>
                <w:spacing w:val="-2"/>
              </w:rPr>
            </w:pPr>
            <w:r w:rsidRPr="0050413F">
              <w:rPr>
                <w:rFonts w:ascii="Times New Roman" w:hAnsi="Times New Roman"/>
                <w:bCs/>
                <w:color w:val="000000"/>
                <w:spacing w:val="-2"/>
              </w:rPr>
              <w:t>W Europie już od kilku lat z powodzeniem funkcjonują strefy niskoemisyjne</w:t>
            </w:r>
            <w:r w:rsidR="00FB152F" w:rsidRPr="0050413F">
              <w:rPr>
                <w:rFonts w:ascii="Times New Roman" w:hAnsi="Times New Roman"/>
                <w:bCs/>
                <w:color w:val="000000"/>
                <w:spacing w:val="-2"/>
              </w:rPr>
              <w:t xml:space="preserve"> (tzw. LEZ – Low Emission Zone)</w:t>
            </w:r>
            <w:r w:rsidRPr="0050413F">
              <w:rPr>
                <w:rFonts w:ascii="Times New Roman" w:hAnsi="Times New Roman"/>
                <w:bCs/>
                <w:color w:val="000000"/>
                <w:spacing w:val="-2"/>
              </w:rPr>
              <w:t>. Najwięcej takich stref powstało we Włoszech oraz</w:t>
            </w:r>
            <w:r w:rsidR="005C5C35" w:rsidRPr="0050413F">
              <w:rPr>
                <w:rFonts w:ascii="Times New Roman" w:hAnsi="Times New Roman"/>
                <w:bCs/>
                <w:color w:val="000000"/>
                <w:spacing w:val="-2"/>
              </w:rPr>
              <w:t xml:space="preserve"> w</w:t>
            </w:r>
            <w:r w:rsidRPr="0050413F">
              <w:rPr>
                <w:rFonts w:ascii="Times New Roman" w:hAnsi="Times New Roman"/>
                <w:bCs/>
                <w:color w:val="000000"/>
                <w:spacing w:val="-2"/>
              </w:rPr>
              <w:t xml:space="preserve"> Niemczech. Jedynie w krajach Europy Wschodniej, na Bałkanach oraz w Polsce strefy nie są tworzone. Strefy niskoemisyjne zostały dobrze przyjęte w krajach europejskich przede </w:t>
            </w:r>
            <w:r w:rsidR="00AA2242" w:rsidRPr="0050413F">
              <w:rPr>
                <w:rFonts w:ascii="Times New Roman" w:hAnsi="Times New Roman"/>
                <w:bCs/>
                <w:color w:val="000000"/>
                <w:spacing w:val="-2"/>
              </w:rPr>
              <w:t xml:space="preserve">wszystkim </w:t>
            </w:r>
            <w:r w:rsidRPr="0050413F">
              <w:rPr>
                <w:rFonts w:ascii="Times New Roman" w:hAnsi="Times New Roman"/>
                <w:bCs/>
                <w:color w:val="000000"/>
                <w:spacing w:val="-2"/>
              </w:rPr>
              <w:t xml:space="preserve">dlatego, że nie są </w:t>
            </w:r>
            <w:r w:rsidR="005C5C35" w:rsidRPr="0050413F">
              <w:rPr>
                <w:rFonts w:ascii="Times New Roman" w:hAnsi="Times New Roman"/>
                <w:bCs/>
                <w:color w:val="000000"/>
                <w:spacing w:val="-2"/>
              </w:rPr>
              <w:t xml:space="preserve">to regulacje zbyt </w:t>
            </w:r>
            <w:r w:rsidRPr="0050413F">
              <w:rPr>
                <w:rFonts w:ascii="Times New Roman" w:hAnsi="Times New Roman"/>
                <w:bCs/>
                <w:color w:val="000000"/>
                <w:spacing w:val="-2"/>
              </w:rPr>
              <w:t>restrykcyjne</w:t>
            </w:r>
            <w:r w:rsidR="005C5C35" w:rsidRPr="0050413F">
              <w:rPr>
                <w:rFonts w:ascii="Times New Roman" w:hAnsi="Times New Roman"/>
                <w:bCs/>
                <w:color w:val="000000"/>
                <w:spacing w:val="-2"/>
              </w:rPr>
              <w:t xml:space="preserve"> dla obywateli</w:t>
            </w:r>
            <w:r w:rsidRPr="0050413F">
              <w:rPr>
                <w:rFonts w:ascii="Times New Roman" w:hAnsi="Times New Roman"/>
                <w:bCs/>
                <w:color w:val="000000"/>
                <w:spacing w:val="-2"/>
              </w:rPr>
              <w:t xml:space="preserve"> i w większości z nich ograniczenia wjazdu zostały podzielone na etapy, stopniowo eliminując kolejne rodzaje pojazdów, które będą miały zakaz poruszania się po strefie. Pojazdy uprawnione do wjazdu do strefy posiadają specjalne oznaczenia, </w:t>
            </w:r>
            <w:r w:rsidR="005C5C35" w:rsidRPr="0050413F">
              <w:rPr>
                <w:rFonts w:ascii="Times New Roman" w:hAnsi="Times New Roman"/>
                <w:bCs/>
                <w:color w:val="000000"/>
                <w:spacing w:val="-2"/>
              </w:rPr>
              <w:t>np.,</w:t>
            </w:r>
            <w:r w:rsidRPr="0050413F">
              <w:rPr>
                <w:rFonts w:ascii="Times New Roman" w:hAnsi="Times New Roman"/>
                <w:bCs/>
                <w:color w:val="000000"/>
                <w:spacing w:val="-2"/>
              </w:rPr>
              <w:t xml:space="preserve"> w Wiedniu i Zagłębiu Ruhry są to specjalne nalepki umieszczane na przedniej szybie, natomiast w Brukseli i Oksfordzie stosowana jest weryfikacja </w:t>
            </w:r>
            <w:r w:rsidR="00872A79" w:rsidRPr="0050413F">
              <w:rPr>
                <w:rFonts w:ascii="Times New Roman" w:hAnsi="Times New Roman"/>
                <w:bCs/>
                <w:color w:val="000000"/>
                <w:spacing w:val="-2"/>
              </w:rPr>
              <w:t xml:space="preserve">na </w:t>
            </w:r>
            <w:r w:rsidRPr="0050413F">
              <w:rPr>
                <w:rFonts w:ascii="Times New Roman" w:hAnsi="Times New Roman"/>
                <w:bCs/>
                <w:color w:val="000000"/>
                <w:spacing w:val="-2"/>
              </w:rPr>
              <w:t>po</w:t>
            </w:r>
            <w:r w:rsidR="00872A79" w:rsidRPr="0050413F">
              <w:rPr>
                <w:rFonts w:ascii="Times New Roman" w:hAnsi="Times New Roman"/>
                <w:bCs/>
                <w:color w:val="000000"/>
                <w:spacing w:val="-2"/>
              </w:rPr>
              <w:t xml:space="preserve">dstawie </w:t>
            </w:r>
            <w:r w:rsidRPr="0050413F">
              <w:rPr>
                <w:rFonts w:ascii="Times New Roman" w:hAnsi="Times New Roman"/>
                <w:bCs/>
                <w:color w:val="000000"/>
                <w:spacing w:val="-2"/>
              </w:rPr>
              <w:t xml:space="preserve"> tablic rejestracyjnych.</w:t>
            </w:r>
          </w:p>
          <w:p w14:paraId="6448ED76" w14:textId="77777777" w:rsidR="008C2523" w:rsidRDefault="008C2523" w:rsidP="0050413F">
            <w:pPr>
              <w:spacing w:line="240" w:lineRule="auto"/>
              <w:jc w:val="both"/>
              <w:rPr>
                <w:rFonts w:ascii="Times New Roman" w:hAnsi="Times New Roman"/>
                <w:bCs/>
                <w:color w:val="000000"/>
                <w:spacing w:val="-2"/>
              </w:rPr>
            </w:pPr>
          </w:p>
          <w:p w14:paraId="4BFDF41C" w14:textId="37882DBD" w:rsidR="004A08DC" w:rsidRPr="0050413F" w:rsidRDefault="004A08DC" w:rsidP="0050413F">
            <w:pPr>
              <w:spacing w:line="240" w:lineRule="auto"/>
              <w:jc w:val="both"/>
              <w:rPr>
                <w:rFonts w:ascii="Times New Roman" w:hAnsi="Times New Roman"/>
                <w:color w:val="000000"/>
                <w:spacing w:val="-2"/>
              </w:rPr>
            </w:pPr>
            <w:r>
              <w:rPr>
                <w:rFonts w:ascii="Times New Roman" w:hAnsi="Times New Roman"/>
                <w:bCs/>
                <w:color w:val="000000"/>
                <w:spacing w:val="-2"/>
              </w:rPr>
              <w:t xml:space="preserve">W zakresie implementacji aktów prawa UE </w:t>
            </w:r>
            <w:r>
              <w:rPr>
                <w:rFonts w:ascii="Times New Roman" w:hAnsi="Times New Roman"/>
                <w:color w:val="000000"/>
                <w:spacing w:val="-2"/>
              </w:rPr>
              <w:t xml:space="preserve">kraje członkowskie UE są na zbliżonym poziomie wdrażania przepisów ww. dyrektyw i w związku z tym nie przeprowadzano analizy prawno-porównawczej  w odniesieniu do krajów członkowskich UE. </w:t>
            </w:r>
            <w:r>
              <w:rPr>
                <w:rFonts w:ascii="Times New Roman" w:hAnsi="Times New Roman"/>
                <w:spacing w:val="-2"/>
              </w:rPr>
              <w:t>Projektowana ustawa ma charakter wdrażający przepisy prawa Unii Europejskiej do prawa krajowego.</w:t>
            </w:r>
          </w:p>
        </w:tc>
      </w:tr>
      <w:tr w:rsidR="006A701A" w:rsidRPr="0050413F" w14:paraId="62EF9A47" w14:textId="77777777" w:rsidTr="00676C8D">
        <w:trPr>
          <w:gridAfter w:val="1"/>
          <w:wAfter w:w="10" w:type="dxa"/>
          <w:trHeight w:val="359"/>
        </w:trPr>
        <w:tc>
          <w:tcPr>
            <w:tcW w:w="10937" w:type="dxa"/>
            <w:gridSpan w:val="29"/>
            <w:shd w:val="clear" w:color="auto" w:fill="99CCFF"/>
            <w:vAlign w:val="center"/>
          </w:tcPr>
          <w:p w14:paraId="2C94C8FF" w14:textId="77777777" w:rsidR="006A701A" w:rsidRPr="0050413F" w:rsidRDefault="006A701A" w:rsidP="0050413F">
            <w:pPr>
              <w:numPr>
                <w:ilvl w:val="0"/>
                <w:numId w:val="3"/>
              </w:numPr>
              <w:spacing w:line="240" w:lineRule="auto"/>
              <w:ind w:left="318" w:hanging="284"/>
              <w:jc w:val="both"/>
              <w:rPr>
                <w:rFonts w:ascii="Times New Roman" w:hAnsi="Times New Roman"/>
                <w:b/>
                <w:color w:val="000000"/>
              </w:rPr>
            </w:pPr>
            <w:r w:rsidRPr="0050413F">
              <w:rPr>
                <w:rFonts w:ascii="Times New Roman" w:hAnsi="Times New Roman"/>
                <w:b/>
                <w:color w:val="000000"/>
              </w:rPr>
              <w:lastRenderedPageBreak/>
              <w:t>Podmioty, na które oddziałuje projekt</w:t>
            </w:r>
          </w:p>
        </w:tc>
      </w:tr>
      <w:tr w:rsidR="00260F33" w:rsidRPr="0050413F" w14:paraId="64B6E286" w14:textId="77777777" w:rsidTr="0050413F">
        <w:trPr>
          <w:gridAfter w:val="1"/>
          <w:wAfter w:w="10" w:type="dxa"/>
          <w:trHeight w:val="142"/>
        </w:trPr>
        <w:tc>
          <w:tcPr>
            <w:tcW w:w="3290" w:type="dxa"/>
            <w:gridSpan w:val="4"/>
            <w:shd w:val="clear" w:color="auto" w:fill="auto"/>
          </w:tcPr>
          <w:p w14:paraId="1CFE861D" w14:textId="77777777" w:rsidR="00260F33" w:rsidRPr="0050413F" w:rsidRDefault="00260F33" w:rsidP="0050413F">
            <w:pPr>
              <w:spacing w:line="240" w:lineRule="auto"/>
              <w:jc w:val="center"/>
              <w:rPr>
                <w:rFonts w:ascii="Times New Roman" w:hAnsi="Times New Roman"/>
                <w:color w:val="000000"/>
                <w:spacing w:val="-2"/>
              </w:rPr>
            </w:pPr>
            <w:r w:rsidRPr="0050413F">
              <w:rPr>
                <w:rFonts w:ascii="Times New Roman" w:hAnsi="Times New Roman"/>
                <w:color w:val="000000"/>
                <w:spacing w:val="-2"/>
              </w:rPr>
              <w:t>Grupa</w:t>
            </w:r>
          </w:p>
        </w:tc>
        <w:tc>
          <w:tcPr>
            <w:tcW w:w="1417" w:type="dxa"/>
            <w:gridSpan w:val="5"/>
            <w:shd w:val="clear" w:color="auto" w:fill="auto"/>
          </w:tcPr>
          <w:p w14:paraId="6B6BC4B9" w14:textId="77777777" w:rsidR="00260F33" w:rsidRPr="0050413F" w:rsidRDefault="00563199" w:rsidP="0050413F">
            <w:pPr>
              <w:spacing w:line="240" w:lineRule="auto"/>
              <w:jc w:val="center"/>
              <w:rPr>
                <w:rFonts w:ascii="Times New Roman" w:hAnsi="Times New Roman"/>
                <w:color w:val="000000"/>
                <w:spacing w:val="-2"/>
              </w:rPr>
            </w:pPr>
            <w:r w:rsidRPr="0050413F">
              <w:rPr>
                <w:rFonts w:ascii="Times New Roman" w:hAnsi="Times New Roman"/>
                <w:color w:val="000000"/>
                <w:spacing w:val="-2"/>
              </w:rPr>
              <w:t>Wielkość</w:t>
            </w:r>
          </w:p>
        </w:tc>
        <w:tc>
          <w:tcPr>
            <w:tcW w:w="2268" w:type="dxa"/>
            <w:gridSpan w:val="10"/>
            <w:shd w:val="clear" w:color="auto" w:fill="auto"/>
          </w:tcPr>
          <w:p w14:paraId="2066E445" w14:textId="77777777" w:rsidR="00260F33" w:rsidRPr="0050413F" w:rsidRDefault="00260F33" w:rsidP="0050413F">
            <w:pPr>
              <w:spacing w:line="240" w:lineRule="auto"/>
              <w:jc w:val="center"/>
              <w:rPr>
                <w:rFonts w:ascii="Times New Roman" w:hAnsi="Times New Roman"/>
                <w:color w:val="000000"/>
                <w:spacing w:val="-2"/>
              </w:rPr>
            </w:pPr>
            <w:r w:rsidRPr="0050413F">
              <w:rPr>
                <w:rFonts w:ascii="Times New Roman" w:hAnsi="Times New Roman"/>
                <w:color w:val="000000"/>
                <w:spacing w:val="-2"/>
              </w:rPr>
              <w:t>Źródło danych</w:t>
            </w:r>
            <w:r w:rsidRPr="0050413F" w:rsidDel="00260F33">
              <w:rPr>
                <w:rFonts w:ascii="Times New Roman" w:hAnsi="Times New Roman"/>
                <w:color w:val="000000"/>
                <w:spacing w:val="-2"/>
              </w:rPr>
              <w:t xml:space="preserve"> </w:t>
            </w:r>
          </w:p>
        </w:tc>
        <w:tc>
          <w:tcPr>
            <w:tcW w:w="3962" w:type="dxa"/>
            <w:gridSpan w:val="10"/>
            <w:shd w:val="clear" w:color="auto" w:fill="auto"/>
          </w:tcPr>
          <w:p w14:paraId="264FF6AC" w14:textId="77777777" w:rsidR="00260F33" w:rsidRPr="0050413F" w:rsidRDefault="00260F33" w:rsidP="0050413F">
            <w:pPr>
              <w:spacing w:line="240" w:lineRule="auto"/>
              <w:jc w:val="center"/>
              <w:rPr>
                <w:rFonts w:ascii="Times New Roman" w:hAnsi="Times New Roman"/>
                <w:color w:val="000000"/>
                <w:spacing w:val="-2"/>
              </w:rPr>
            </w:pPr>
            <w:r w:rsidRPr="0050413F">
              <w:rPr>
                <w:rFonts w:ascii="Times New Roman" w:hAnsi="Times New Roman"/>
                <w:color w:val="000000"/>
                <w:spacing w:val="-2"/>
              </w:rPr>
              <w:t>Oddziaływanie</w:t>
            </w:r>
          </w:p>
        </w:tc>
      </w:tr>
      <w:tr w:rsidR="008D3B73" w:rsidRPr="0050413F" w14:paraId="54F0C321" w14:textId="77777777" w:rsidTr="0050413F">
        <w:trPr>
          <w:gridAfter w:val="1"/>
          <w:wAfter w:w="10" w:type="dxa"/>
          <w:trHeight w:val="142"/>
        </w:trPr>
        <w:tc>
          <w:tcPr>
            <w:tcW w:w="3290" w:type="dxa"/>
            <w:gridSpan w:val="4"/>
            <w:shd w:val="clear" w:color="auto" w:fill="auto"/>
          </w:tcPr>
          <w:p w14:paraId="12270D9C" w14:textId="087F5F41" w:rsidR="008D3B73" w:rsidRPr="0050413F" w:rsidRDefault="008D3B73" w:rsidP="0050413F">
            <w:pPr>
              <w:spacing w:line="240" w:lineRule="auto"/>
              <w:rPr>
                <w:rFonts w:ascii="Times New Roman" w:hAnsi="Times New Roman"/>
              </w:rPr>
            </w:pPr>
            <w:r w:rsidRPr="0050413F">
              <w:rPr>
                <w:rFonts w:ascii="Times New Roman" w:hAnsi="Times New Roman"/>
              </w:rPr>
              <w:t>Podmioty zobowiązane do stosowania procedur udzielania zamówień publicznych na podstawie ustawy – Prawo zamówień publicznych (w tym jednostki sektora finansów publicznych, państwowe jednostki organizacyjne nieposiadające osobowości prawnej, podmioty prawa publicznego, związki tych jednostek lub podmiotów oraz przedsiębiorstwa działające w sektorach transportu i usług pocztowych)</w:t>
            </w:r>
          </w:p>
        </w:tc>
        <w:tc>
          <w:tcPr>
            <w:tcW w:w="1417" w:type="dxa"/>
            <w:gridSpan w:val="5"/>
            <w:shd w:val="clear" w:color="auto" w:fill="auto"/>
          </w:tcPr>
          <w:p w14:paraId="7F41CFFE" w14:textId="77777777" w:rsidR="008D3B73" w:rsidRPr="0050413F" w:rsidRDefault="008D3B73" w:rsidP="0050413F">
            <w:pPr>
              <w:spacing w:line="240" w:lineRule="auto"/>
              <w:rPr>
                <w:rFonts w:ascii="Times New Roman" w:hAnsi="Times New Roman"/>
                <w:color w:val="000000"/>
                <w:spacing w:val="-2"/>
              </w:rPr>
            </w:pPr>
            <w:r w:rsidRPr="0050413F">
              <w:rPr>
                <w:rFonts w:ascii="Times New Roman" w:hAnsi="Times New Roman"/>
                <w:color w:val="000000"/>
                <w:spacing w:val="-2"/>
              </w:rPr>
              <w:t>ok. 33 000</w:t>
            </w:r>
          </w:p>
        </w:tc>
        <w:tc>
          <w:tcPr>
            <w:tcW w:w="2268" w:type="dxa"/>
            <w:gridSpan w:val="10"/>
            <w:shd w:val="clear" w:color="auto" w:fill="auto"/>
          </w:tcPr>
          <w:p w14:paraId="1AD53791" w14:textId="77777777" w:rsidR="008D3B73" w:rsidRPr="0050413F" w:rsidRDefault="008D3B73" w:rsidP="0050413F">
            <w:pPr>
              <w:spacing w:line="240" w:lineRule="auto"/>
              <w:rPr>
                <w:rFonts w:ascii="Times New Roman" w:hAnsi="Times New Roman"/>
                <w:color w:val="000000"/>
                <w:spacing w:val="-2"/>
              </w:rPr>
            </w:pPr>
            <w:r w:rsidRPr="0050413F">
              <w:rPr>
                <w:rFonts w:ascii="Times New Roman" w:hAnsi="Times New Roman"/>
                <w:color w:val="000000"/>
                <w:spacing w:val="-2"/>
              </w:rPr>
              <w:t>Sprawozdanie Prezesa Urzędu Zamówień Publicznych o funkcjonowaniu systemu zamówień publicznych w 2018 r.</w:t>
            </w:r>
          </w:p>
        </w:tc>
        <w:tc>
          <w:tcPr>
            <w:tcW w:w="3962" w:type="dxa"/>
            <w:gridSpan w:val="10"/>
            <w:shd w:val="clear" w:color="auto" w:fill="auto"/>
          </w:tcPr>
          <w:p w14:paraId="00C1658F" w14:textId="77777777" w:rsidR="008D3B73" w:rsidRPr="0050413F" w:rsidRDefault="008D3B73" w:rsidP="0050413F">
            <w:pPr>
              <w:pStyle w:val="Akapitzlist"/>
              <w:numPr>
                <w:ilvl w:val="0"/>
                <w:numId w:val="25"/>
              </w:numPr>
              <w:spacing w:line="240" w:lineRule="auto"/>
              <w:ind w:left="170" w:hanging="215"/>
              <w:contextualSpacing w:val="0"/>
              <w:rPr>
                <w:rFonts w:ascii="Times New Roman" w:hAnsi="Times New Roman"/>
                <w:color w:val="000000"/>
                <w:spacing w:val="-2"/>
              </w:rPr>
            </w:pPr>
            <w:r w:rsidRPr="0050413F">
              <w:rPr>
                <w:rFonts w:ascii="Times New Roman" w:hAnsi="Times New Roman"/>
                <w:color w:val="000000"/>
                <w:spacing w:val="-2"/>
              </w:rPr>
              <w:t xml:space="preserve">Wydatki związane z obowiązkiem zakupu ekologicznie czystych pojazdów </w:t>
            </w:r>
          </w:p>
          <w:p w14:paraId="1661D50D" w14:textId="77777777" w:rsidR="008D3B73" w:rsidRPr="0050413F" w:rsidRDefault="008D3B73" w:rsidP="0050413F">
            <w:pPr>
              <w:pStyle w:val="Akapitzlist"/>
              <w:numPr>
                <w:ilvl w:val="0"/>
                <w:numId w:val="25"/>
              </w:numPr>
              <w:spacing w:line="240" w:lineRule="auto"/>
              <w:ind w:left="170" w:hanging="215"/>
              <w:contextualSpacing w:val="0"/>
              <w:rPr>
                <w:rFonts w:ascii="Times New Roman" w:hAnsi="Times New Roman"/>
                <w:color w:val="000000"/>
                <w:spacing w:val="-2"/>
              </w:rPr>
            </w:pPr>
            <w:r w:rsidRPr="0050413F">
              <w:rPr>
                <w:rFonts w:ascii="Times New Roman" w:hAnsi="Times New Roman"/>
                <w:color w:val="000000"/>
                <w:spacing w:val="-2"/>
              </w:rPr>
              <w:t xml:space="preserve">Redukcja kosztów eksploatacji na skutek zastąpienia części floty ekologicznie czystymi pojazdami </w:t>
            </w:r>
          </w:p>
          <w:p w14:paraId="42370CBF" w14:textId="77777777" w:rsidR="008D3B73" w:rsidRPr="0050413F" w:rsidRDefault="008D3B73" w:rsidP="0050413F">
            <w:pPr>
              <w:pStyle w:val="Akapitzlist"/>
              <w:spacing w:line="240" w:lineRule="auto"/>
              <w:ind w:left="174"/>
              <w:rPr>
                <w:rFonts w:ascii="Times New Roman" w:hAnsi="Times New Roman"/>
                <w:color w:val="000000"/>
                <w:spacing w:val="-2"/>
              </w:rPr>
            </w:pPr>
          </w:p>
        </w:tc>
      </w:tr>
      <w:tr w:rsidR="00956AA1" w:rsidRPr="0050413F" w14:paraId="63729427" w14:textId="77777777" w:rsidTr="0050413F">
        <w:trPr>
          <w:gridAfter w:val="1"/>
          <w:wAfter w:w="10" w:type="dxa"/>
          <w:trHeight w:val="142"/>
        </w:trPr>
        <w:tc>
          <w:tcPr>
            <w:tcW w:w="3290" w:type="dxa"/>
            <w:gridSpan w:val="4"/>
            <w:shd w:val="clear" w:color="auto" w:fill="auto"/>
          </w:tcPr>
          <w:p w14:paraId="337AB2F0" w14:textId="77777777" w:rsidR="00956AA1" w:rsidRPr="0050413F" w:rsidRDefault="00956AA1" w:rsidP="0050413F">
            <w:pPr>
              <w:spacing w:line="240" w:lineRule="auto"/>
              <w:rPr>
                <w:rFonts w:ascii="Times New Roman" w:hAnsi="Times New Roman"/>
                <w:spacing w:val="-2"/>
              </w:rPr>
            </w:pPr>
            <w:r w:rsidRPr="0050413F">
              <w:rPr>
                <w:rFonts w:ascii="Times New Roman" w:hAnsi="Times New Roman"/>
              </w:rPr>
              <w:t>Podmioty wykonujące działalność gospodarczą w zakresie oferowania usługi ładowania pojazdów elektrycznych</w:t>
            </w:r>
          </w:p>
        </w:tc>
        <w:tc>
          <w:tcPr>
            <w:tcW w:w="1417" w:type="dxa"/>
            <w:gridSpan w:val="5"/>
            <w:shd w:val="clear" w:color="auto" w:fill="auto"/>
          </w:tcPr>
          <w:p w14:paraId="052F74E3" w14:textId="77777777" w:rsidR="00956AA1" w:rsidRPr="0050413F" w:rsidRDefault="00956AA1" w:rsidP="0050413F">
            <w:pPr>
              <w:spacing w:line="240" w:lineRule="auto"/>
              <w:rPr>
                <w:rFonts w:ascii="Times New Roman" w:hAnsi="Times New Roman"/>
                <w:spacing w:val="-2"/>
              </w:rPr>
            </w:pPr>
            <w:r w:rsidRPr="0050413F">
              <w:rPr>
                <w:rFonts w:ascii="Times New Roman" w:hAnsi="Times New Roman"/>
              </w:rPr>
              <w:t xml:space="preserve">20 </w:t>
            </w:r>
          </w:p>
        </w:tc>
        <w:tc>
          <w:tcPr>
            <w:tcW w:w="2268" w:type="dxa"/>
            <w:gridSpan w:val="10"/>
            <w:shd w:val="clear" w:color="auto" w:fill="auto"/>
          </w:tcPr>
          <w:p w14:paraId="08A3D7D3" w14:textId="77777777" w:rsidR="00956AA1" w:rsidRPr="0050413F" w:rsidRDefault="00956AA1" w:rsidP="0050413F">
            <w:pPr>
              <w:spacing w:line="240" w:lineRule="auto"/>
              <w:rPr>
                <w:rFonts w:ascii="Times New Roman" w:hAnsi="Times New Roman"/>
                <w:spacing w:val="-2"/>
              </w:rPr>
            </w:pPr>
            <w:r w:rsidRPr="0050413F">
              <w:rPr>
                <w:rFonts w:ascii="Times New Roman" w:hAnsi="Times New Roman"/>
              </w:rPr>
              <w:t>Dane własne</w:t>
            </w:r>
          </w:p>
        </w:tc>
        <w:tc>
          <w:tcPr>
            <w:tcW w:w="3962" w:type="dxa"/>
            <w:gridSpan w:val="10"/>
            <w:shd w:val="clear" w:color="auto" w:fill="auto"/>
          </w:tcPr>
          <w:p w14:paraId="109B6557" w14:textId="77777777" w:rsidR="00956AA1" w:rsidRPr="0050413F" w:rsidRDefault="00956AA1" w:rsidP="0050413F">
            <w:pPr>
              <w:pStyle w:val="Akapitzlist"/>
              <w:numPr>
                <w:ilvl w:val="0"/>
                <w:numId w:val="25"/>
              </w:numPr>
              <w:spacing w:line="240" w:lineRule="auto"/>
              <w:ind w:left="170" w:hanging="215"/>
              <w:contextualSpacing w:val="0"/>
              <w:rPr>
                <w:rFonts w:ascii="Times New Roman" w:hAnsi="Times New Roman"/>
                <w:spacing w:val="-2"/>
              </w:rPr>
            </w:pPr>
            <w:r w:rsidRPr="0050413F">
              <w:rPr>
                <w:rFonts w:ascii="Times New Roman" w:hAnsi="Times New Roman"/>
                <w:color w:val="000000"/>
                <w:spacing w:val="-2"/>
              </w:rPr>
              <w:t xml:space="preserve">Wzrost liczby podmiotów oferujących usługi ładowania </w:t>
            </w:r>
          </w:p>
          <w:p w14:paraId="348B6A1C" w14:textId="77777777" w:rsidR="00956AA1" w:rsidRPr="0050413F" w:rsidRDefault="00956AA1" w:rsidP="0050413F">
            <w:pPr>
              <w:pStyle w:val="Akapitzlist"/>
              <w:numPr>
                <w:ilvl w:val="0"/>
                <w:numId w:val="25"/>
              </w:numPr>
              <w:spacing w:line="240" w:lineRule="auto"/>
              <w:ind w:left="170" w:hanging="215"/>
              <w:contextualSpacing w:val="0"/>
              <w:rPr>
                <w:rFonts w:ascii="Times New Roman" w:hAnsi="Times New Roman"/>
                <w:spacing w:val="-2"/>
              </w:rPr>
            </w:pPr>
            <w:r w:rsidRPr="0050413F">
              <w:rPr>
                <w:rFonts w:ascii="Times New Roman" w:hAnsi="Times New Roman"/>
                <w:color w:val="000000"/>
                <w:spacing w:val="-2"/>
              </w:rPr>
              <w:t>Wzrost obrotów działających już firm, na skutek impulsu do zwiększania liczby pojazdów elektrycznych</w:t>
            </w:r>
          </w:p>
        </w:tc>
      </w:tr>
      <w:tr w:rsidR="00694D8F" w:rsidRPr="0050413F" w14:paraId="087F101D" w14:textId="77777777" w:rsidTr="0050413F">
        <w:trPr>
          <w:gridAfter w:val="1"/>
          <w:wAfter w:w="10" w:type="dxa"/>
          <w:trHeight w:val="142"/>
        </w:trPr>
        <w:tc>
          <w:tcPr>
            <w:tcW w:w="3290" w:type="dxa"/>
            <w:gridSpan w:val="4"/>
            <w:shd w:val="clear" w:color="auto" w:fill="auto"/>
          </w:tcPr>
          <w:p w14:paraId="3DAA9028" w14:textId="77777777" w:rsidR="00694D8F" w:rsidRPr="0050413F" w:rsidRDefault="00694D8F" w:rsidP="0050413F">
            <w:pPr>
              <w:spacing w:line="240" w:lineRule="auto"/>
              <w:rPr>
                <w:rFonts w:ascii="Times New Roman" w:hAnsi="Times New Roman"/>
              </w:rPr>
            </w:pPr>
            <w:r w:rsidRPr="0050413F">
              <w:rPr>
                <w:rFonts w:ascii="Times New Roman" w:hAnsi="Times New Roman"/>
              </w:rPr>
              <w:t>Przedsiębiorstwa</w:t>
            </w:r>
          </w:p>
        </w:tc>
        <w:tc>
          <w:tcPr>
            <w:tcW w:w="1417" w:type="dxa"/>
            <w:gridSpan w:val="5"/>
            <w:shd w:val="clear" w:color="auto" w:fill="auto"/>
          </w:tcPr>
          <w:p w14:paraId="53692F43" w14:textId="77777777" w:rsidR="00694D8F" w:rsidRPr="0050413F" w:rsidRDefault="00694D8F" w:rsidP="0050413F">
            <w:pPr>
              <w:spacing w:line="240" w:lineRule="auto"/>
              <w:rPr>
                <w:rFonts w:ascii="Times New Roman" w:hAnsi="Times New Roman"/>
              </w:rPr>
            </w:pPr>
            <w:r w:rsidRPr="0050413F">
              <w:rPr>
                <w:rFonts w:ascii="Times New Roman" w:hAnsi="Times New Roman"/>
              </w:rPr>
              <w:t xml:space="preserve">2 077 tys. </w:t>
            </w:r>
          </w:p>
        </w:tc>
        <w:tc>
          <w:tcPr>
            <w:tcW w:w="2268" w:type="dxa"/>
            <w:gridSpan w:val="10"/>
            <w:shd w:val="clear" w:color="auto" w:fill="auto"/>
          </w:tcPr>
          <w:p w14:paraId="05470A4A" w14:textId="77777777" w:rsidR="00694D8F" w:rsidRPr="0050413F" w:rsidRDefault="00694D8F" w:rsidP="0050413F">
            <w:pPr>
              <w:spacing w:line="240" w:lineRule="auto"/>
              <w:rPr>
                <w:rFonts w:ascii="Times New Roman" w:hAnsi="Times New Roman"/>
              </w:rPr>
            </w:pPr>
            <w:r w:rsidRPr="0050413F">
              <w:rPr>
                <w:rFonts w:ascii="Times New Roman" w:hAnsi="Times New Roman"/>
              </w:rPr>
              <w:t>PARP</w:t>
            </w:r>
          </w:p>
        </w:tc>
        <w:tc>
          <w:tcPr>
            <w:tcW w:w="3962" w:type="dxa"/>
            <w:gridSpan w:val="10"/>
            <w:shd w:val="clear" w:color="auto" w:fill="auto"/>
          </w:tcPr>
          <w:p w14:paraId="11627068" w14:textId="77777777" w:rsidR="00694D8F" w:rsidRPr="0050413F" w:rsidRDefault="00694D8F" w:rsidP="0050413F">
            <w:pPr>
              <w:pStyle w:val="Akapitzlist"/>
              <w:numPr>
                <w:ilvl w:val="0"/>
                <w:numId w:val="25"/>
              </w:numPr>
              <w:spacing w:line="240" w:lineRule="auto"/>
              <w:ind w:left="170" w:hanging="215"/>
              <w:contextualSpacing w:val="0"/>
              <w:rPr>
                <w:rFonts w:ascii="Times New Roman" w:hAnsi="Times New Roman"/>
                <w:color w:val="000000"/>
                <w:spacing w:val="-2"/>
              </w:rPr>
            </w:pPr>
            <w:r w:rsidRPr="0050413F">
              <w:rPr>
                <w:rFonts w:ascii="Times New Roman" w:hAnsi="Times New Roman"/>
                <w:color w:val="000000"/>
                <w:spacing w:val="-2"/>
              </w:rPr>
              <w:t>Zmniejszenie dochodów przedsiębiorców z tytuły zmniejszonych odpisów amortyzacyjnych</w:t>
            </w:r>
          </w:p>
        </w:tc>
      </w:tr>
      <w:tr w:rsidR="002C75EF" w:rsidRPr="0050413F" w14:paraId="5BF3035D" w14:textId="77777777" w:rsidTr="0050413F">
        <w:trPr>
          <w:gridAfter w:val="1"/>
          <w:wAfter w:w="10" w:type="dxa"/>
          <w:trHeight w:val="142"/>
        </w:trPr>
        <w:tc>
          <w:tcPr>
            <w:tcW w:w="3290" w:type="dxa"/>
            <w:gridSpan w:val="4"/>
            <w:shd w:val="clear" w:color="auto" w:fill="auto"/>
          </w:tcPr>
          <w:p w14:paraId="0D99E335" w14:textId="77777777" w:rsidR="002C75EF" w:rsidRPr="0050413F" w:rsidRDefault="002C75EF" w:rsidP="0050413F">
            <w:pPr>
              <w:spacing w:line="240" w:lineRule="auto"/>
              <w:rPr>
                <w:rFonts w:ascii="Times New Roman" w:hAnsi="Times New Roman"/>
                <w:spacing w:val="-2"/>
              </w:rPr>
            </w:pPr>
            <w:r w:rsidRPr="0050413F">
              <w:rPr>
                <w:rFonts w:ascii="Times New Roman" w:hAnsi="Times New Roman"/>
              </w:rPr>
              <w:t>Podmioty wykonujące działalność gospodarczą w zakresie oferowania gazu ziemnego (CNG, LNG) do celów napędowych</w:t>
            </w:r>
          </w:p>
        </w:tc>
        <w:tc>
          <w:tcPr>
            <w:tcW w:w="1417" w:type="dxa"/>
            <w:gridSpan w:val="5"/>
            <w:shd w:val="clear" w:color="auto" w:fill="auto"/>
          </w:tcPr>
          <w:p w14:paraId="63AE2458" w14:textId="77777777" w:rsidR="002C75EF" w:rsidRPr="0050413F" w:rsidRDefault="00956AA1" w:rsidP="0050413F">
            <w:pPr>
              <w:spacing w:line="240" w:lineRule="auto"/>
              <w:rPr>
                <w:rFonts w:ascii="Times New Roman" w:hAnsi="Times New Roman"/>
                <w:spacing w:val="-2"/>
              </w:rPr>
            </w:pPr>
            <w:r w:rsidRPr="0050413F">
              <w:rPr>
                <w:rFonts w:ascii="Times New Roman" w:hAnsi="Times New Roman"/>
                <w:spacing w:val="-2"/>
              </w:rPr>
              <w:t>13</w:t>
            </w:r>
          </w:p>
        </w:tc>
        <w:tc>
          <w:tcPr>
            <w:tcW w:w="2268" w:type="dxa"/>
            <w:gridSpan w:val="10"/>
            <w:shd w:val="clear" w:color="auto" w:fill="auto"/>
          </w:tcPr>
          <w:p w14:paraId="2AB537BC" w14:textId="77777777" w:rsidR="002C75EF" w:rsidRPr="0050413F" w:rsidRDefault="002C75EF" w:rsidP="0050413F">
            <w:pPr>
              <w:spacing w:line="240" w:lineRule="auto"/>
              <w:rPr>
                <w:rFonts w:ascii="Times New Roman" w:hAnsi="Times New Roman"/>
                <w:spacing w:val="-2"/>
              </w:rPr>
            </w:pPr>
            <w:r w:rsidRPr="0050413F">
              <w:rPr>
                <w:rFonts w:ascii="Times New Roman" w:hAnsi="Times New Roman"/>
                <w:spacing w:val="-2"/>
              </w:rPr>
              <w:t xml:space="preserve">Strona internetowa </w:t>
            </w:r>
            <w:hyperlink r:id="rId8" w:tgtFrame="_blank" w:history="1">
              <w:r w:rsidR="00956AA1" w:rsidRPr="0050413F">
                <w:rPr>
                  <w:rStyle w:val="Hipercze"/>
                  <w:rFonts w:ascii="Times New Roman" w:hAnsi="Times New Roman"/>
                  <w:color w:val="005A95"/>
                  <w:shd w:val="clear" w:color="auto" w:fill="FFFFFF"/>
                </w:rPr>
                <w:t>http://lcng.pimot.eu/adresy-stacji-cng-lng-polska/</w:t>
              </w:r>
            </w:hyperlink>
          </w:p>
          <w:p w14:paraId="0527F321" w14:textId="77777777" w:rsidR="002C75EF" w:rsidRPr="0050413F" w:rsidRDefault="002C75EF" w:rsidP="0050413F">
            <w:pPr>
              <w:spacing w:line="240" w:lineRule="auto"/>
              <w:rPr>
                <w:rFonts w:ascii="Times New Roman" w:hAnsi="Times New Roman"/>
                <w:spacing w:val="-2"/>
              </w:rPr>
            </w:pPr>
          </w:p>
        </w:tc>
        <w:tc>
          <w:tcPr>
            <w:tcW w:w="3962" w:type="dxa"/>
            <w:gridSpan w:val="10"/>
            <w:shd w:val="clear" w:color="auto" w:fill="auto"/>
          </w:tcPr>
          <w:p w14:paraId="68A6E592" w14:textId="77777777" w:rsidR="002C75EF" w:rsidRPr="0050413F" w:rsidRDefault="002C75EF" w:rsidP="0050413F">
            <w:pPr>
              <w:pStyle w:val="Akapitzlist"/>
              <w:numPr>
                <w:ilvl w:val="0"/>
                <w:numId w:val="25"/>
              </w:numPr>
              <w:spacing w:line="240" w:lineRule="auto"/>
              <w:ind w:left="174" w:hanging="218"/>
              <w:rPr>
                <w:rFonts w:ascii="Times New Roman" w:hAnsi="Times New Roman"/>
                <w:spacing w:val="-2"/>
              </w:rPr>
            </w:pPr>
            <w:r w:rsidRPr="0050413F">
              <w:rPr>
                <w:rFonts w:ascii="Times New Roman" w:hAnsi="Times New Roman"/>
                <w:color w:val="000000"/>
                <w:spacing w:val="-2"/>
              </w:rPr>
              <w:t xml:space="preserve">Wzrost obrotów działających już firm, na skutek impulsu do zwiększania liczby pojazdów napędzanych paliwami gazowymi </w:t>
            </w:r>
          </w:p>
          <w:p w14:paraId="65C1EECC" w14:textId="77777777" w:rsidR="002C75EF" w:rsidRPr="0050413F" w:rsidRDefault="002C75EF" w:rsidP="0050413F">
            <w:pPr>
              <w:spacing w:line="240" w:lineRule="auto"/>
              <w:ind w:left="-44"/>
              <w:rPr>
                <w:rFonts w:ascii="Times New Roman" w:hAnsi="Times New Roman"/>
                <w:spacing w:val="-2"/>
              </w:rPr>
            </w:pPr>
          </w:p>
        </w:tc>
      </w:tr>
      <w:tr w:rsidR="002C75EF" w:rsidRPr="0050413F" w14:paraId="73864DDC" w14:textId="77777777" w:rsidTr="0050413F">
        <w:trPr>
          <w:gridAfter w:val="1"/>
          <w:wAfter w:w="10" w:type="dxa"/>
          <w:trHeight w:val="142"/>
        </w:trPr>
        <w:tc>
          <w:tcPr>
            <w:tcW w:w="3290" w:type="dxa"/>
            <w:gridSpan w:val="4"/>
            <w:shd w:val="clear" w:color="auto" w:fill="auto"/>
          </w:tcPr>
          <w:p w14:paraId="14D4FF46" w14:textId="77777777" w:rsidR="002C75EF" w:rsidRPr="0050413F" w:rsidRDefault="002C75EF" w:rsidP="0050413F">
            <w:pPr>
              <w:spacing w:line="240" w:lineRule="auto"/>
              <w:rPr>
                <w:rFonts w:ascii="Times New Roman" w:hAnsi="Times New Roman"/>
              </w:rPr>
            </w:pPr>
            <w:r w:rsidRPr="0050413F">
              <w:rPr>
                <w:rFonts w:ascii="Times New Roman" w:hAnsi="Times New Roman"/>
              </w:rPr>
              <w:t>Producenci i sprzedawcy pojazdów oraz podzespołów</w:t>
            </w:r>
          </w:p>
        </w:tc>
        <w:tc>
          <w:tcPr>
            <w:tcW w:w="1417" w:type="dxa"/>
            <w:gridSpan w:val="5"/>
            <w:shd w:val="clear" w:color="auto" w:fill="auto"/>
          </w:tcPr>
          <w:p w14:paraId="4A51D6E7" w14:textId="77777777" w:rsidR="002C75EF" w:rsidRPr="0050413F" w:rsidRDefault="002C75EF" w:rsidP="0050413F">
            <w:pPr>
              <w:spacing w:line="240" w:lineRule="auto"/>
              <w:rPr>
                <w:rFonts w:ascii="Times New Roman" w:hAnsi="Times New Roman"/>
                <w:spacing w:val="-2"/>
              </w:rPr>
            </w:pPr>
            <w:r w:rsidRPr="0050413F">
              <w:rPr>
                <w:rFonts w:ascii="Times New Roman" w:hAnsi="Times New Roman"/>
                <w:color w:val="000000"/>
                <w:spacing w:val="-2"/>
              </w:rPr>
              <w:t>Wszystkie podmioty działające na rynku</w:t>
            </w:r>
          </w:p>
        </w:tc>
        <w:tc>
          <w:tcPr>
            <w:tcW w:w="2268" w:type="dxa"/>
            <w:gridSpan w:val="10"/>
            <w:shd w:val="clear" w:color="auto" w:fill="auto"/>
          </w:tcPr>
          <w:p w14:paraId="40AE37C8" w14:textId="77777777" w:rsidR="002C75EF" w:rsidRPr="0050413F" w:rsidRDefault="002C75EF" w:rsidP="0050413F">
            <w:pPr>
              <w:spacing w:line="240" w:lineRule="auto"/>
              <w:rPr>
                <w:rFonts w:ascii="Times New Roman" w:hAnsi="Times New Roman"/>
                <w:spacing w:val="-2"/>
              </w:rPr>
            </w:pPr>
          </w:p>
        </w:tc>
        <w:tc>
          <w:tcPr>
            <w:tcW w:w="3962" w:type="dxa"/>
            <w:gridSpan w:val="10"/>
            <w:shd w:val="clear" w:color="auto" w:fill="auto"/>
          </w:tcPr>
          <w:p w14:paraId="769EC1A7" w14:textId="77777777" w:rsidR="002C75EF" w:rsidRPr="0050413F" w:rsidRDefault="002C75EF" w:rsidP="0050413F">
            <w:pPr>
              <w:pStyle w:val="Akapitzlist"/>
              <w:numPr>
                <w:ilvl w:val="0"/>
                <w:numId w:val="25"/>
              </w:numPr>
              <w:spacing w:line="240" w:lineRule="auto"/>
              <w:ind w:left="170" w:hanging="215"/>
              <w:contextualSpacing w:val="0"/>
              <w:rPr>
                <w:rFonts w:ascii="Times New Roman" w:hAnsi="Times New Roman"/>
                <w:spacing w:val="-2"/>
              </w:rPr>
            </w:pPr>
            <w:r w:rsidRPr="0050413F">
              <w:rPr>
                <w:rFonts w:ascii="Times New Roman" w:hAnsi="Times New Roman"/>
                <w:color w:val="000000"/>
                <w:spacing w:val="-2"/>
              </w:rPr>
              <w:t>Wzrost liczby pojazdów elektrycznych i napędzanych gazem ziemnym</w:t>
            </w:r>
          </w:p>
          <w:p w14:paraId="4378273E" w14:textId="572F93B2" w:rsidR="002C75EF" w:rsidRPr="0050413F" w:rsidRDefault="002C75EF" w:rsidP="0050413F">
            <w:pPr>
              <w:pStyle w:val="Akapitzlist"/>
              <w:numPr>
                <w:ilvl w:val="0"/>
                <w:numId w:val="25"/>
              </w:numPr>
              <w:spacing w:line="240" w:lineRule="auto"/>
              <w:ind w:left="170" w:hanging="215"/>
              <w:contextualSpacing w:val="0"/>
              <w:rPr>
                <w:rFonts w:ascii="Times New Roman" w:hAnsi="Times New Roman"/>
                <w:spacing w:val="-2"/>
              </w:rPr>
            </w:pPr>
            <w:r w:rsidRPr="0050413F">
              <w:rPr>
                <w:rFonts w:ascii="Times New Roman" w:hAnsi="Times New Roman"/>
                <w:color w:val="000000"/>
                <w:spacing w:val="-2"/>
              </w:rPr>
              <w:t>Wzrost obrotu producentów i</w:t>
            </w:r>
            <w:r w:rsidR="00F36476" w:rsidRPr="0050413F">
              <w:rPr>
                <w:rFonts w:ascii="Times New Roman" w:hAnsi="Times New Roman"/>
                <w:color w:val="000000"/>
                <w:spacing w:val="-2"/>
              </w:rPr>
              <w:t> </w:t>
            </w:r>
            <w:r w:rsidRPr="0050413F">
              <w:rPr>
                <w:rFonts w:ascii="Times New Roman" w:hAnsi="Times New Roman"/>
                <w:color w:val="000000"/>
                <w:spacing w:val="-2"/>
              </w:rPr>
              <w:t>sprzedawców nowych pojazdów oraz podzespołów</w:t>
            </w:r>
          </w:p>
        </w:tc>
      </w:tr>
      <w:tr w:rsidR="00775657" w:rsidRPr="0050413F" w14:paraId="7A4A1228" w14:textId="77777777" w:rsidTr="0050413F">
        <w:trPr>
          <w:gridAfter w:val="1"/>
          <w:wAfter w:w="10" w:type="dxa"/>
          <w:trHeight w:val="142"/>
        </w:trPr>
        <w:tc>
          <w:tcPr>
            <w:tcW w:w="3290" w:type="dxa"/>
            <w:gridSpan w:val="4"/>
            <w:shd w:val="clear" w:color="auto" w:fill="auto"/>
          </w:tcPr>
          <w:p w14:paraId="351B5B34" w14:textId="6A36E4D8" w:rsidR="00775657" w:rsidRPr="0050413F" w:rsidRDefault="00775657" w:rsidP="0050413F">
            <w:pPr>
              <w:spacing w:line="240" w:lineRule="auto"/>
              <w:rPr>
                <w:rFonts w:ascii="Times New Roman" w:hAnsi="Times New Roman"/>
              </w:rPr>
            </w:pPr>
            <w:r w:rsidRPr="0050413F">
              <w:rPr>
                <w:rFonts w:ascii="Times New Roman" w:hAnsi="Times New Roman"/>
              </w:rPr>
              <w:t xml:space="preserve">Podmioty wykonujące działalność gospodarczą w zakresie oferowania </w:t>
            </w:r>
            <w:r>
              <w:rPr>
                <w:rFonts w:ascii="Times New Roman" w:hAnsi="Times New Roman"/>
              </w:rPr>
              <w:t xml:space="preserve">wodoru </w:t>
            </w:r>
            <w:r w:rsidRPr="0050413F">
              <w:rPr>
                <w:rFonts w:ascii="Times New Roman" w:hAnsi="Times New Roman"/>
              </w:rPr>
              <w:t>do celów napędowych</w:t>
            </w:r>
          </w:p>
        </w:tc>
        <w:tc>
          <w:tcPr>
            <w:tcW w:w="1417" w:type="dxa"/>
            <w:gridSpan w:val="5"/>
            <w:shd w:val="clear" w:color="auto" w:fill="auto"/>
          </w:tcPr>
          <w:p w14:paraId="7586A664" w14:textId="272EC1C8" w:rsidR="00775657" w:rsidRPr="0050413F" w:rsidRDefault="008C2523" w:rsidP="0050413F">
            <w:pPr>
              <w:spacing w:line="240" w:lineRule="auto"/>
              <w:rPr>
                <w:rFonts w:ascii="Times New Roman" w:hAnsi="Times New Roman"/>
                <w:color w:val="000000"/>
                <w:spacing w:val="-2"/>
              </w:rPr>
            </w:pPr>
            <w:r>
              <w:rPr>
                <w:rFonts w:ascii="Times New Roman" w:hAnsi="Times New Roman"/>
                <w:color w:val="000000"/>
                <w:spacing w:val="-2"/>
              </w:rPr>
              <w:t>5</w:t>
            </w:r>
          </w:p>
        </w:tc>
        <w:tc>
          <w:tcPr>
            <w:tcW w:w="2268" w:type="dxa"/>
            <w:gridSpan w:val="10"/>
            <w:shd w:val="clear" w:color="auto" w:fill="auto"/>
          </w:tcPr>
          <w:p w14:paraId="49AA35A0" w14:textId="023F9E1E" w:rsidR="00775657" w:rsidRPr="0050413F" w:rsidRDefault="008C2523" w:rsidP="0050413F">
            <w:pPr>
              <w:spacing w:line="240" w:lineRule="auto"/>
              <w:rPr>
                <w:rFonts w:ascii="Times New Roman" w:hAnsi="Times New Roman"/>
                <w:spacing w:val="-2"/>
              </w:rPr>
            </w:pPr>
            <w:r w:rsidRPr="0050413F">
              <w:rPr>
                <w:rFonts w:ascii="Times New Roman" w:hAnsi="Times New Roman"/>
              </w:rPr>
              <w:t>Dane własne</w:t>
            </w:r>
          </w:p>
        </w:tc>
        <w:tc>
          <w:tcPr>
            <w:tcW w:w="3962" w:type="dxa"/>
            <w:gridSpan w:val="10"/>
            <w:shd w:val="clear" w:color="auto" w:fill="auto"/>
          </w:tcPr>
          <w:p w14:paraId="21D8192A" w14:textId="7ADD5060" w:rsidR="00775657" w:rsidRPr="0050413F" w:rsidRDefault="00A23D3E" w:rsidP="0050413F">
            <w:pPr>
              <w:pStyle w:val="Akapitzlist"/>
              <w:numPr>
                <w:ilvl w:val="0"/>
                <w:numId w:val="25"/>
              </w:numPr>
              <w:spacing w:line="240" w:lineRule="auto"/>
              <w:ind w:left="170" w:hanging="215"/>
              <w:contextualSpacing w:val="0"/>
              <w:rPr>
                <w:rFonts w:ascii="Times New Roman" w:hAnsi="Times New Roman"/>
                <w:color w:val="000000"/>
                <w:spacing w:val="-2"/>
              </w:rPr>
            </w:pPr>
            <w:r>
              <w:rPr>
                <w:rFonts w:ascii="Times New Roman" w:hAnsi="Times New Roman"/>
                <w:color w:val="000000"/>
                <w:spacing w:val="-2"/>
              </w:rPr>
              <w:t>Powstanie lub rozszerzenie zakresu działalności firm o usługi w zakresie tankowania wodoru do pojazdów</w:t>
            </w:r>
          </w:p>
        </w:tc>
      </w:tr>
      <w:tr w:rsidR="002C75EF" w:rsidRPr="0050413F" w14:paraId="633F98AD" w14:textId="77777777" w:rsidTr="0050413F">
        <w:trPr>
          <w:gridAfter w:val="1"/>
          <w:wAfter w:w="10" w:type="dxa"/>
          <w:trHeight w:val="142"/>
        </w:trPr>
        <w:tc>
          <w:tcPr>
            <w:tcW w:w="3290" w:type="dxa"/>
            <w:gridSpan w:val="4"/>
            <w:shd w:val="clear" w:color="auto" w:fill="auto"/>
          </w:tcPr>
          <w:p w14:paraId="0265F70C" w14:textId="77777777" w:rsidR="002C75EF" w:rsidRPr="0050413F" w:rsidRDefault="00DB6642" w:rsidP="0050413F">
            <w:pPr>
              <w:tabs>
                <w:tab w:val="left" w:pos="1560"/>
              </w:tabs>
              <w:spacing w:line="240" w:lineRule="auto"/>
              <w:rPr>
                <w:rFonts w:ascii="Times New Roman" w:hAnsi="Times New Roman"/>
                <w:color w:val="000000"/>
              </w:rPr>
            </w:pPr>
            <w:r w:rsidRPr="0050413F">
              <w:rPr>
                <w:rFonts w:ascii="Times New Roman" w:hAnsi="Times New Roman"/>
                <w:color w:val="000000"/>
              </w:rPr>
              <w:t>Jednostki samorządu terytorialnego</w:t>
            </w:r>
          </w:p>
        </w:tc>
        <w:tc>
          <w:tcPr>
            <w:tcW w:w="1417" w:type="dxa"/>
            <w:gridSpan w:val="5"/>
            <w:shd w:val="clear" w:color="auto" w:fill="auto"/>
          </w:tcPr>
          <w:p w14:paraId="1CC3403C" w14:textId="77777777" w:rsidR="002C75EF" w:rsidRPr="0050413F" w:rsidRDefault="00502C98" w:rsidP="0050413F">
            <w:pPr>
              <w:spacing w:line="240" w:lineRule="auto"/>
              <w:rPr>
                <w:rFonts w:ascii="Times New Roman" w:hAnsi="Times New Roman"/>
                <w:color w:val="000000"/>
                <w:spacing w:val="-2"/>
              </w:rPr>
            </w:pPr>
            <w:r w:rsidRPr="0050413F">
              <w:rPr>
                <w:rFonts w:ascii="Times New Roman" w:hAnsi="Times New Roman"/>
                <w:color w:val="000000"/>
                <w:spacing w:val="-2"/>
              </w:rPr>
              <w:t>Powyżej 100 tys. mieszkańców</w:t>
            </w:r>
          </w:p>
        </w:tc>
        <w:tc>
          <w:tcPr>
            <w:tcW w:w="2268" w:type="dxa"/>
            <w:gridSpan w:val="10"/>
            <w:shd w:val="clear" w:color="auto" w:fill="auto"/>
          </w:tcPr>
          <w:p w14:paraId="0983EC1C" w14:textId="77777777" w:rsidR="002C75EF" w:rsidRPr="0050413F" w:rsidRDefault="002C75EF" w:rsidP="0050413F">
            <w:pPr>
              <w:spacing w:line="240" w:lineRule="auto"/>
              <w:rPr>
                <w:rFonts w:ascii="Times New Roman" w:hAnsi="Times New Roman"/>
                <w:color w:val="000000"/>
                <w:spacing w:val="-2"/>
              </w:rPr>
            </w:pPr>
          </w:p>
        </w:tc>
        <w:tc>
          <w:tcPr>
            <w:tcW w:w="3962" w:type="dxa"/>
            <w:gridSpan w:val="10"/>
            <w:shd w:val="clear" w:color="auto" w:fill="auto"/>
          </w:tcPr>
          <w:p w14:paraId="25059C08" w14:textId="0B41F84E" w:rsidR="002C75EF" w:rsidRPr="0050413F" w:rsidRDefault="00502C98" w:rsidP="0050413F">
            <w:pPr>
              <w:spacing w:line="240" w:lineRule="auto"/>
              <w:ind w:left="17"/>
              <w:rPr>
                <w:rFonts w:ascii="Times New Roman" w:hAnsi="Times New Roman"/>
                <w:color w:val="000000"/>
                <w:spacing w:val="-2"/>
              </w:rPr>
            </w:pPr>
            <w:r w:rsidRPr="0050413F">
              <w:rPr>
                <w:rFonts w:ascii="Times New Roman" w:hAnsi="Times New Roman"/>
                <w:color w:val="000000"/>
                <w:spacing w:val="-2"/>
              </w:rPr>
              <w:t xml:space="preserve">Obowiązek ustanowienia strefy czystego transportu na terenie miasta </w:t>
            </w:r>
            <w:r w:rsidR="008C2523">
              <w:rPr>
                <w:rFonts w:ascii="Times New Roman" w:hAnsi="Times New Roman"/>
                <w:color w:val="000000"/>
                <w:spacing w:val="-2"/>
              </w:rPr>
              <w:t>w przypadku przekroczenia dopuszczalnego poziomu emisji NO2</w:t>
            </w:r>
          </w:p>
        </w:tc>
      </w:tr>
      <w:tr w:rsidR="002C75EF" w:rsidRPr="0050413F" w14:paraId="10E07CE1" w14:textId="77777777" w:rsidTr="0050413F">
        <w:trPr>
          <w:gridAfter w:val="1"/>
          <w:wAfter w:w="10" w:type="dxa"/>
          <w:trHeight w:val="142"/>
        </w:trPr>
        <w:tc>
          <w:tcPr>
            <w:tcW w:w="3290" w:type="dxa"/>
            <w:gridSpan w:val="4"/>
            <w:shd w:val="clear" w:color="auto" w:fill="auto"/>
          </w:tcPr>
          <w:p w14:paraId="19D1006A" w14:textId="77777777" w:rsidR="002C75EF" w:rsidRPr="0050413F" w:rsidRDefault="005C5C35" w:rsidP="0050413F">
            <w:pPr>
              <w:tabs>
                <w:tab w:val="left" w:pos="1560"/>
              </w:tabs>
              <w:spacing w:line="240" w:lineRule="auto"/>
              <w:rPr>
                <w:rFonts w:ascii="Times New Roman" w:hAnsi="Times New Roman"/>
                <w:color w:val="000000"/>
              </w:rPr>
            </w:pPr>
            <w:r w:rsidRPr="0050413F">
              <w:rPr>
                <w:rFonts w:ascii="Times New Roman" w:hAnsi="Times New Roman"/>
                <w:color w:val="000000"/>
              </w:rPr>
              <w:t>Minister właściwy do spraw transportu</w:t>
            </w:r>
          </w:p>
        </w:tc>
        <w:tc>
          <w:tcPr>
            <w:tcW w:w="1417" w:type="dxa"/>
            <w:gridSpan w:val="5"/>
            <w:shd w:val="clear" w:color="auto" w:fill="auto"/>
          </w:tcPr>
          <w:p w14:paraId="020994A4" w14:textId="77777777" w:rsidR="002C75EF" w:rsidRPr="0050413F" w:rsidRDefault="007606F6" w:rsidP="0050413F">
            <w:pPr>
              <w:spacing w:line="240" w:lineRule="auto"/>
              <w:rPr>
                <w:rFonts w:ascii="Times New Roman" w:hAnsi="Times New Roman"/>
                <w:color w:val="000000"/>
                <w:spacing w:val="-2"/>
              </w:rPr>
            </w:pPr>
            <w:r w:rsidRPr="0050413F">
              <w:rPr>
                <w:rFonts w:ascii="Times New Roman" w:hAnsi="Times New Roman"/>
                <w:color w:val="000000"/>
                <w:spacing w:val="-2"/>
              </w:rPr>
              <w:t>1</w:t>
            </w:r>
          </w:p>
        </w:tc>
        <w:tc>
          <w:tcPr>
            <w:tcW w:w="2268" w:type="dxa"/>
            <w:gridSpan w:val="10"/>
            <w:shd w:val="clear" w:color="auto" w:fill="auto"/>
          </w:tcPr>
          <w:p w14:paraId="4497F88C" w14:textId="77777777" w:rsidR="002C75EF" w:rsidRPr="0050413F" w:rsidRDefault="002C75EF" w:rsidP="0050413F">
            <w:pPr>
              <w:spacing w:line="240" w:lineRule="auto"/>
              <w:rPr>
                <w:rFonts w:ascii="Times New Roman" w:hAnsi="Times New Roman"/>
                <w:color w:val="000000"/>
                <w:spacing w:val="-2"/>
              </w:rPr>
            </w:pPr>
          </w:p>
        </w:tc>
        <w:tc>
          <w:tcPr>
            <w:tcW w:w="3962" w:type="dxa"/>
            <w:gridSpan w:val="10"/>
            <w:shd w:val="clear" w:color="auto" w:fill="auto"/>
          </w:tcPr>
          <w:p w14:paraId="1526E9B5" w14:textId="77777777" w:rsidR="002C75EF" w:rsidRPr="0050413F" w:rsidRDefault="007606F6" w:rsidP="0050413F">
            <w:pPr>
              <w:spacing w:line="240" w:lineRule="auto"/>
              <w:rPr>
                <w:rFonts w:ascii="Times New Roman" w:hAnsi="Times New Roman"/>
                <w:color w:val="000000"/>
                <w:spacing w:val="-2"/>
              </w:rPr>
            </w:pPr>
            <w:r w:rsidRPr="0050413F">
              <w:rPr>
                <w:rFonts w:ascii="Times New Roman" w:hAnsi="Times New Roman"/>
                <w:color w:val="000000"/>
                <w:spacing w:val="-2"/>
              </w:rPr>
              <w:t xml:space="preserve">Konieczność przygotowania sprawozdania dla Komisji Europejskiej w zakresie poziomów </w:t>
            </w:r>
          </w:p>
        </w:tc>
      </w:tr>
      <w:tr w:rsidR="003E3B81" w:rsidRPr="0050413F" w14:paraId="1154CBD4" w14:textId="77777777" w:rsidTr="0050413F">
        <w:trPr>
          <w:gridAfter w:val="1"/>
          <w:wAfter w:w="10" w:type="dxa"/>
          <w:trHeight w:val="142"/>
        </w:trPr>
        <w:tc>
          <w:tcPr>
            <w:tcW w:w="3290" w:type="dxa"/>
            <w:gridSpan w:val="4"/>
            <w:shd w:val="clear" w:color="auto" w:fill="auto"/>
          </w:tcPr>
          <w:p w14:paraId="0F237917" w14:textId="7F665968" w:rsidR="003E3B81" w:rsidRPr="0050413F" w:rsidRDefault="003E3B81" w:rsidP="0050413F">
            <w:pPr>
              <w:tabs>
                <w:tab w:val="left" w:pos="1560"/>
              </w:tabs>
              <w:spacing w:line="240" w:lineRule="auto"/>
              <w:rPr>
                <w:rFonts w:ascii="Times New Roman" w:hAnsi="Times New Roman"/>
                <w:color w:val="000000"/>
              </w:rPr>
            </w:pPr>
            <w:r w:rsidRPr="0050413F">
              <w:rPr>
                <w:rFonts w:ascii="Times New Roman" w:hAnsi="Times New Roman"/>
                <w:color w:val="000000"/>
              </w:rPr>
              <w:lastRenderedPageBreak/>
              <w:t xml:space="preserve">Prezes UDT </w:t>
            </w:r>
            <w:r w:rsidR="00CD76AF">
              <w:rPr>
                <w:rFonts w:ascii="Times New Roman" w:hAnsi="Times New Roman"/>
                <w:color w:val="000000"/>
              </w:rPr>
              <w:t xml:space="preserve">oraz Dyrektor TDT </w:t>
            </w:r>
            <w:r w:rsidRPr="0050413F">
              <w:rPr>
                <w:rFonts w:ascii="Times New Roman" w:hAnsi="Times New Roman"/>
                <w:color w:val="000000"/>
              </w:rPr>
              <w:t>i inspektorzy</w:t>
            </w:r>
          </w:p>
        </w:tc>
        <w:tc>
          <w:tcPr>
            <w:tcW w:w="1417" w:type="dxa"/>
            <w:gridSpan w:val="5"/>
            <w:shd w:val="clear" w:color="auto" w:fill="auto"/>
          </w:tcPr>
          <w:p w14:paraId="5EE9276B" w14:textId="7CDF9030" w:rsidR="003E3B81" w:rsidRPr="0050413F" w:rsidRDefault="00CD76AF" w:rsidP="0050413F">
            <w:pPr>
              <w:spacing w:line="240" w:lineRule="auto"/>
              <w:rPr>
                <w:rFonts w:ascii="Times New Roman" w:hAnsi="Times New Roman"/>
                <w:color w:val="000000"/>
                <w:spacing w:val="-2"/>
              </w:rPr>
            </w:pPr>
            <w:r>
              <w:rPr>
                <w:rFonts w:ascii="Times New Roman" w:hAnsi="Times New Roman"/>
                <w:color w:val="000000"/>
                <w:spacing w:val="-2"/>
              </w:rPr>
              <w:t>2</w:t>
            </w:r>
          </w:p>
        </w:tc>
        <w:tc>
          <w:tcPr>
            <w:tcW w:w="2268" w:type="dxa"/>
            <w:gridSpan w:val="10"/>
            <w:shd w:val="clear" w:color="auto" w:fill="auto"/>
          </w:tcPr>
          <w:p w14:paraId="319A1953" w14:textId="77777777" w:rsidR="003E3B81" w:rsidRPr="0050413F" w:rsidRDefault="003E3B81" w:rsidP="0050413F">
            <w:pPr>
              <w:spacing w:line="240" w:lineRule="auto"/>
              <w:rPr>
                <w:rFonts w:ascii="Times New Roman" w:hAnsi="Times New Roman"/>
                <w:color w:val="000000"/>
                <w:spacing w:val="-2"/>
              </w:rPr>
            </w:pPr>
          </w:p>
        </w:tc>
        <w:tc>
          <w:tcPr>
            <w:tcW w:w="3962" w:type="dxa"/>
            <w:gridSpan w:val="10"/>
            <w:shd w:val="clear" w:color="auto" w:fill="auto"/>
          </w:tcPr>
          <w:p w14:paraId="7FCA5CBD" w14:textId="7AD391BA" w:rsidR="003E3B81" w:rsidRPr="0050413F" w:rsidRDefault="007606F6" w:rsidP="0050413F">
            <w:pPr>
              <w:spacing w:line="240" w:lineRule="auto"/>
              <w:rPr>
                <w:rFonts w:ascii="Times New Roman" w:hAnsi="Times New Roman"/>
                <w:color w:val="000000"/>
                <w:spacing w:val="-2"/>
              </w:rPr>
            </w:pPr>
            <w:r w:rsidRPr="0050413F">
              <w:rPr>
                <w:rFonts w:ascii="Times New Roman" w:hAnsi="Times New Roman"/>
                <w:color w:val="000000"/>
                <w:spacing w:val="-2"/>
              </w:rPr>
              <w:t>Nowe obowiązki w zakresie kontroli stacji ładowania pojazdów</w:t>
            </w:r>
            <w:r w:rsidR="005D5317">
              <w:rPr>
                <w:rFonts w:ascii="Times New Roman" w:hAnsi="Times New Roman"/>
                <w:color w:val="000000"/>
                <w:spacing w:val="-2"/>
              </w:rPr>
              <w:t>, stacji gazu ziemnego oraz stacji wodoru</w:t>
            </w:r>
          </w:p>
        </w:tc>
      </w:tr>
      <w:tr w:rsidR="00CD76AF" w:rsidRPr="0050413F" w14:paraId="43F16CFC" w14:textId="77777777" w:rsidTr="0050413F">
        <w:trPr>
          <w:gridAfter w:val="1"/>
          <w:wAfter w:w="10" w:type="dxa"/>
          <w:trHeight w:val="142"/>
        </w:trPr>
        <w:tc>
          <w:tcPr>
            <w:tcW w:w="3290" w:type="dxa"/>
            <w:gridSpan w:val="4"/>
            <w:shd w:val="clear" w:color="auto" w:fill="auto"/>
          </w:tcPr>
          <w:p w14:paraId="608D29C3" w14:textId="4B6799F9" w:rsidR="00CD76AF" w:rsidRPr="0050413F" w:rsidRDefault="00CD76AF" w:rsidP="0050413F">
            <w:pPr>
              <w:tabs>
                <w:tab w:val="left" w:pos="1560"/>
              </w:tabs>
              <w:spacing w:line="240" w:lineRule="auto"/>
              <w:rPr>
                <w:rFonts w:ascii="Times New Roman" w:hAnsi="Times New Roman"/>
                <w:color w:val="000000"/>
              </w:rPr>
            </w:pPr>
            <w:r>
              <w:rPr>
                <w:rFonts w:ascii="Times New Roman" w:hAnsi="Times New Roman"/>
                <w:color w:val="000000"/>
              </w:rPr>
              <w:t>Prezes URE</w:t>
            </w:r>
          </w:p>
        </w:tc>
        <w:tc>
          <w:tcPr>
            <w:tcW w:w="1417" w:type="dxa"/>
            <w:gridSpan w:val="5"/>
            <w:shd w:val="clear" w:color="auto" w:fill="auto"/>
          </w:tcPr>
          <w:p w14:paraId="22880791" w14:textId="608AB627" w:rsidR="00CD76AF" w:rsidRPr="0050413F" w:rsidDel="00CD76AF" w:rsidRDefault="00CD76AF" w:rsidP="0050413F">
            <w:pPr>
              <w:spacing w:line="240" w:lineRule="auto"/>
              <w:rPr>
                <w:rFonts w:ascii="Times New Roman" w:hAnsi="Times New Roman"/>
                <w:color w:val="000000"/>
                <w:spacing w:val="-2"/>
              </w:rPr>
            </w:pPr>
            <w:r>
              <w:rPr>
                <w:rFonts w:ascii="Times New Roman" w:hAnsi="Times New Roman"/>
                <w:color w:val="000000"/>
                <w:spacing w:val="-2"/>
              </w:rPr>
              <w:t>1</w:t>
            </w:r>
          </w:p>
        </w:tc>
        <w:tc>
          <w:tcPr>
            <w:tcW w:w="2268" w:type="dxa"/>
            <w:gridSpan w:val="10"/>
            <w:shd w:val="clear" w:color="auto" w:fill="auto"/>
          </w:tcPr>
          <w:p w14:paraId="57970477" w14:textId="77777777" w:rsidR="00CD76AF" w:rsidRPr="0050413F" w:rsidRDefault="00CD76AF" w:rsidP="0050413F">
            <w:pPr>
              <w:spacing w:line="240" w:lineRule="auto"/>
              <w:rPr>
                <w:rFonts w:ascii="Times New Roman" w:hAnsi="Times New Roman"/>
                <w:color w:val="000000"/>
                <w:spacing w:val="-2"/>
              </w:rPr>
            </w:pPr>
          </w:p>
        </w:tc>
        <w:tc>
          <w:tcPr>
            <w:tcW w:w="3962" w:type="dxa"/>
            <w:gridSpan w:val="10"/>
            <w:shd w:val="clear" w:color="auto" w:fill="auto"/>
          </w:tcPr>
          <w:p w14:paraId="57932B4F" w14:textId="4D1370B7" w:rsidR="00CD76AF" w:rsidRPr="0050413F" w:rsidRDefault="00CD76AF" w:rsidP="0050413F">
            <w:pPr>
              <w:spacing w:line="240" w:lineRule="auto"/>
              <w:rPr>
                <w:rFonts w:ascii="Times New Roman" w:hAnsi="Times New Roman"/>
                <w:color w:val="000000"/>
                <w:spacing w:val="-2"/>
              </w:rPr>
            </w:pPr>
            <w:r>
              <w:rPr>
                <w:rFonts w:ascii="Times New Roman" w:hAnsi="Times New Roman"/>
                <w:color w:val="000000"/>
                <w:spacing w:val="-2"/>
              </w:rPr>
              <w:t xml:space="preserve">Nowe obowiązki w zakresie udziału w procedurze sprzedaży ogólnodostępnych </w:t>
            </w:r>
            <w:r w:rsidR="00E0426D">
              <w:rPr>
                <w:rFonts w:ascii="Times New Roman" w:hAnsi="Times New Roman"/>
                <w:color w:val="000000"/>
                <w:spacing w:val="-2"/>
              </w:rPr>
              <w:t>stacji</w:t>
            </w:r>
            <w:r>
              <w:rPr>
                <w:rFonts w:ascii="Times New Roman" w:hAnsi="Times New Roman"/>
                <w:color w:val="000000"/>
                <w:spacing w:val="-2"/>
              </w:rPr>
              <w:t xml:space="preserve"> ładowania, których właści</w:t>
            </w:r>
            <w:r w:rsidR="00E0426D">
              <w:rPr>
                <w:rFonts w:ascii="Times New Roman" w:hAnsi="Times New Roman"/>
                <w:color w:val="000000"/>
                <w:spacing w:val="-2"/>
              </w:rPr>
              <w:t xml:space="preserve">cielem są operatorzy systemów dystrybucyjnych </w:t>
            </w:r>
          </w:p>
        </w:tc>
      </w:tr>
      <w:tr w:rsidR="005D5317" w:rsidRPr="0050413F" w14:paraId="6866E204" w14:textId="77777777" w:rsidTr="0050413F">
        <w:trPr>
          <w:gridAfter w:val="1"/>
          <w:wAfter w:w="10" w:type="dxa"/>
          <w:trHeight w:val="142"/>
        </w:trPr>
        <w:tc>
          <w:tcPr>
            <w:tcW w:w="3290" w:type="dxa"/>
            <w:gridSpan w:val="4"/>
            <w:shd w:val="clear" w:color="auto" w:fill="auto"/>
          </w:tcPr>
          <w:p w14:paraId="2A681498" w14:textId="5A198754" w:rsidR="005D5317" w:rsidRDefault="005D5317" w:rsidP="0050413F">
            <w:pPr>
              <w:tabs>
                <w:tab w:val="left" w:pos="1560"/>
              </w:tabs>
              <w:spacing w:line="240" w:lineRule="auto"/>
              <w:rPr>
                <w:rFonts w:ascii="Times New Roman" w:hAnsi="Times New Roman"/>
                <w:color w:val="000000"/>
              </w:rPr>
            </w:pPr>
            <w:r w:rsidRPr="005D5317">
              <w:rPr>
                <w:rFonts w:ascii="Times New Roman" w:hAnsi="Times New Roman"/>
                <w:color w:val="000000"/>
              </w:rPr>
              <w:t>Główny Inspektor Ochrony Środowiska</w:t>
            </w:r>
          </w:p>
        </w:tc>
        <w:tc>
          <w:tcPr>
            <w:tcW w:w="1417" w:type="dxa"/>
            <w:gridSpan w:val="5"/>
            <w:shd w:val="clear" w:color="auto" w:fill="auto"/>
          </w:tcPr>
          <w:p w14:paraId="75EAC97B" w14:textId="0D4E99F6" w:rsidR="005D5317" w:rsidRDefault="005D5317" w:rsidP="0050413F">
            <w:pPr>
              <w:spacing w:line="240" w:lineRule="auto"/>
              <w:rPr>
                <w:rFonts w:ascii="Times New Roman" w:hAnsi="Times New Roman"/>
                <w:color w:val="000000"/>
                <w:spacing w:val="-2"/>
              </w:rPr>
            </w:pPr>
            <w:r>
              <w:rPr>
                <w:rFonts w:ascii="Times New Roman" w:hAnsi="Times New Roman"/>
                <w:color w:val="000000"/>
                <w:spacing w:val="-2"/>
              </w:rPr>
              <w:t>1</w:t>
            </w:r>
          </w:p>
        </w:tc>
        <w:tc>
          <w:tcPr>
            <w:tcW w:w="2268" w:type="dxa"/>
            <w:gridSpan w:val="10"/>
            <w:shd w:val="clear" w:color="auto" w:fill="auto"/>
          </w:tcPr>
          <w:p w14:paraId="4B4071B6" w14:textId="77777777" w:rsidR="005D5317" w:rsidRPr="0050413F" w:rsidRDefault="005D5317" w:rsidP="0050413F">
            <w:pPr>
              <w:spacing w:line="240" w:lineRule="auto"/>
              <w:rPr>
                <w:rFonts w:ascii="Times New Roman" w:hAnsi="Times New Roman"/>
                <w:color w:val="000000"/>
                <w:spacing w:val="-2"/>
              </w:rPr>
            </w:pPr>
          </w:p>
        </w:tc>
        <w:tc>
          <w:tcPr>
            <w:tcW w:w="3962" w:type="dxa"/>
            <w:gridSpan w:val="10"/>
            <w:shd w:val="clear" w:color="auto" w:fill="auto"/>
          </w:tcPr>
          <w:p w14:paraId="0257410B" w14:textId="414C92B3" w:rsidR="005D5317" w:rsidRDefault="005D5317" w:rsidP="005D5317">
            <w:pPr>
              <w:spacing w:line="240" w:lineRule="auto"/>
              <w:rPr>
                <w:rFonts w:ascii="Times New Roman" w:hAnsi="Times New Roman"/>
                <w:color w:val="000000"/>
                <w:spacing w:val="-2"/>
              </w:rPr>
            </w:pPr>
            <w:r>
              <w:rPr>
                <w:rFonts w:ascii="Times New Roman" w:hAnsi="Times New Roman"/>
                <w:color w:val="000000"/>
                <w:spacing w:val="-2"/>
              </w:rPr>
              <w:t xml:space="preserve">Poszerzenie obowiązków informacyjnych w zakresie norm emisji o obowiązek informowania gmin o przekroczeniu na ich obszarze </w:t>
            </w:r>
            <w:r w:rsidRPr="005D5317">
              <w:rPr>
                <w:rFonts w:ascii="Times New Roman" w:hAnsi="Times New Roman"/>
                <w:color w:val="000000"/>
                <w:spacing w:val="-2"/>
              </w:rPr>
              <w:t>dopuszczalnego poziomu stężenia średniorocznego poziomu zanieczyszczeń dwutlenkiem azotu NO2</w:t>
            </w:r>
          </w:p>
        </w:tc>
      </w:tr>
      <w:tr w:rsidR="002C75EF" w:rsidRPr="0050413F" w14:paraId="45D8FE33" w14:textId="77777777" w:rsidTr="0050413F">
        <w:trPr>
          <w:gridAfter w:val="1"/>
          <w:wAfter w:w="10" w:type="dxa"/>
          <w:trHeight w:val="142"/>
        </w:trPr>
        <w:tc>
          <w:tcPr>
            <w:tcW w:w="3290" w:type="dxa"/>
            <w:gridSpan w:val="4"/>
            <w:shd w:val="clear" w:color="auto" w:fill="auto"/>
          </w:tcPr>
          <w:p w14:paraId="7D1C3F95" w14:textId="77777777" w:rsidR="002C75EF" w:rsidRPr="0050413F" w:rsidRDefault="003E3B81" w:rsidP="0050413F">
            <w:pPr>
              <w:tabs>
                <w:tab w:val="left" w:pos="1560"/>
              </w:tabs>
              <w:spacing w:line="240" w:lineRule="auto"/>
              <w:rPr>
                <w:rFonts w:ascii="Times New Roman" w:hAnsi="Times New Roman"/>
                <w:color w:val="000000"/>
              </w:rPr>
            </w:pPr>
            <w:r w:rsidRPr="0050413F">
              <w:rPr>
                <w:rFonts w:ascii="Times New Roman" w:hAnsi="Times New Roman"/>
                <w:color w:val="000000"/>
              </w:rPr>
              <w:t>OSDe</w:t>
            </w:r>
          </w:p>
        </w:tc>
        <w:tc>
          <w:tcPr>
            <w:tcW w:w="1417" w:type="dxa"/>
            <w:gridSpan w:val="5"/>
            <w:shd w:val="clear" w:color="auto" w:fill="auto"/>
          </w:tcPr>
          <w:p w14:paraId="3FC0207A" w14:textId="77777777" w:rsidR="002C75EF" w:rsidRPr="0050413F" w:rsidRDefault="007606F6" w:rsidP="0050413F">
            <w:pPr>
              <w:spacing w:line="240" w:lineRule="auto"/>
              <w:rPr>
                <w:rFonts w:ascii="Times New Roman" w:hAnsi="Times New Roman"/>
                <w:color w:val="000000"/>
                <w:spacing w:val="-2"/>
              </w:rPr>
            </w:pPr>
            <w:r w:rsidRPr="0050413F">
              <w:rPr>
                <w:rFonts w:ascii="Times New Roman" w:hAnsi="Times New Roman"/>
                <w:color w:val="000000"/>
                <w:spacing w:val="-2"/>
              </w:rPr>
              <w:t>4</w:t>
            </w:r>
          </w:p>
        </w:tc>
        <w:tc>
          <w:tcPr>
            <w:tcW w:w="2268" w:type="dxa"/>
            <w:gridSpan w:val="10"/>
            <w:shd w:val="clear" w:color="auto" w:fill="auto"/>
          </w:tcPr>
          <w:p w14:paraId="48AAD125" w14:textId="77777777" w:rsidR="002C75EF" w:rsidRPr="0050413F" w:rsidRDefault="002C75EF" w:rsidP="0050413F">
            <w:pPr>
              <w:spacing w:line="240" w:lineRule="auto"/>
              <w:rPr>
                <w:rFonts w:ascii="Times New Roman" w:hAnsi="Times New Roman"/>
                <w:color w:val="000000"/>
                <w:spacing w:val="-2"/>
              </w:rPr>
            </w:pPr>
          </w:p>
        </w:tc>
        <w:tc>
          <w:tcPr>
            <w:tcW w:w="3962" w:type="dxa"/>
            <w:gridSpan w:val="10"/>
            <w:shd w:val="clear" w:color="auto" w:fill="auto"/>
          </w:tcPr>
          <w:p w14:paraId="187823C5" w14:textId="77777777" w:rsidR="002C75EF" w:rsidRDefault="005D5317" w:rsidP="0050413F">
            <w:pPr>
              <w:spacing w:line="240" w:lineRule="auto"/>
              <w:rPr>
                <w:rFonts w:ascii="Times New Roman" w:hAnsi="Times New Roman"/>
                <w:color w:val="000000"/>
                <w:spacing w:val="-2"/>
              </w:rPr>
            </w:pPr>
            <w:r>
              <w:rPr>
                <w:rFonts w:ascii="Times New Roman" w:hAnsi="Times New Roman"/>
                <w:color w:val="000000"/>
                <w:spacing w:val="-2"/>
              </w:rPr>
              <w:t xml:space="preserve">- </w:t>
            </w:r>
            <w:r w:rsidR="007606F6" w:rsidRPr="0050413F">
              <w:rPr>
                <w:rFonts w:ascii="Times New Roman" w:hAnsi="Times New Roman"/>
                <w:color w:val="000000"/>
                <w:spacing w:val="-2"/>
              </w:rPr>
              <w:t xml:space="preserve">Konieczność przeprowadzania przetargów na wyłonienie operatorów ogólnodostępnych stacji ładowania. </w:t>
            </w:r>
          </w:p>
          <w:p w14:paraId="5C2656B3" w14:textId="46E09B19" w:rsidR="005D5317" w:rsidRPr="0050413F" w:rsidRDefault="005D5317" w:rsidP="0050413F">
            <w:pPr>
              <w:spacing w:line="240" w:lineRule="auto"/>
              <w:rPr>
                <w:rFonts w:ascii="Times New Roman" w:hAnsi="Times New Roman"/>
                <w:color w:val="000000"/>
                <w:spacing w:val="-2"/>
              </w:rPr>
            </w:pPr>
            <w:r>
              <w:rPr>
                <w:rFonts w:ascii="Times New Roman" w:hAnsi="Times New Roman"/>
                <w:color w:val="000000"/>
                <w:spacing w:val="-2"/>
              </w:rPr>
              <w:t xml:space="preserve">- Zmiana zasad wydawania warunków przyłączenia dla </w:t>
            </w:r>
            <w:r w:rsidRPr="005D5317">
              <w:rPr>
                <w:rFonts w:ascii="Times New Roman" w:hAnsi="Times New Roman"/>
                <w:color w:val="000000"/>
                <w:spacing w:val="-2"/>
              </w:rPr>
              <w:t>infrastruktury ładowania drogowego transportu publicznego i ogólnodostępnej stacji ładowania obejmującej wyłącznie punkty ładowania o dużej mocy</w:t>
            </w:r>
          </w:p>
        </w:tc>
      </w:tr>
      <w:tr w:rsidR="003E3B81" w:rsidRPr="0050413F" w14:paraId="4B9BDA77" w14:textId="77777777" w:rsidTr="0050413F">
        <w:trPr>
          <w:gridAfter w:val="1"/>
          <w:wAfter w:w="10" w:type="dxa"/>
          <w:trHeight w:val="142"/>
        </w:trPr>
        <w:tc>
          <w:tcPr>
            <w:tcW w:w="3290" w:type="dxa"/>
            <w:gridSpan w:val="4"/>
            <w:shd w:val="clear" w:color="auto" w:fill="auto"/>
          </w:tcPr>
          <w:p w14:paraId="309CB6F5" w14:textId="77777777" w:rsidR="003E3B81" w:rsidRPr="0050413F" w:rsidRDefault="003E3B81" w:rsidP="0050413F">
            <w:pPr>
              <w:tabs>
                <w:tab w:val="left" w:pos="1560"/>
              </w:tabs>
              <w:spacing w:line="240" w:lineRule="auto"/>
              <w:rPr>
                <w:rFonts w:ascii="Times New Roman" w:hAnsi="Times New Roman"/>
                <w:color w:val="000000"/>
              </w:rPr>
            </w:pPr>
            <w:r w:rsidRPr="0050413F">
              <w:rPr>
                <w:rFonts w:ascii="Times New Roman" w:hAnsi="Times New Roman"/>
                <w:color w:val="000000"/>
              </w:rPr>
              <w:t>Operatorzy stacji ładowania</w:t>
            </w:r>
          </w:p>
        </w:tc>
        <w:tc>
          <w:tcPr>
            <w:tcW w:w="1417" w:type="dxa"/>
            <w:gridSpan w:val="5"/>
            <w:shd w:val="clear" w:color="auto" w:fill="auto"/>
          </w:tcPr>
          <w:p w14:paraId="072392F9" w14:textId="77777777" w:rsidR="003E3B81" w:rsidRPr="0050413F" w:rsidRDefault="007606F6" w:rsidP="0050413F">
            <w:pPr>
              <w:spacing w:line="240" w:lineRule="auto"/>
              <w:rPr>
                <w:rFonts w:ascii="Times New Roman" w:hAnsi="Times New Roman"/>
                <w:color w:val="000000"/>
                <w:spacing w:val="-2"/>
              </w:rPr>
            </w:pPr>
            <w:r w:rsidRPr="0050413F">
              <w:rPr>
                <w:rFonts w:ascii="Times New Roman" w:hAnsi="Times New Roman"/>
                <w:color w:val="000000"/>
                <w:spacing w:val="-2"/>
              </w:rPr>
              <w:t>20</w:t>
            </w:r>
          </w:p>
        </w:tc>
        <w:tc>
          <w:tcPr>
            <w:tcW w:w="2268" w:type="dxa"/>
            <w:gridSpan w:val="10"/>
            <w:shd w:val="clear" w:color="auto" w:fill="auto"/>
          </w:tcPr>
          <w:p w14:paraId="7ACA163F" w14:textId="77777777" w:rsidR="003E3B81" w:rsidRPr="0050413F" w:rsidRDefault="003E3B81" w:rsidP="0050413F">
            <w:pPr>
              <w:spacing w:line="240" w:lineRule="auto"/>
              <w:rPr>
                <w:rFonts w:ascii="Times New Roman" w:hAnsi="Times New Roman"/>
                <w:color w:val="000000"/>
                <w:spacing w:val="-2"/>
              </w:rPr>
            </w:pPr>
          </w:p>
        </w:tc>
        <w:tc>
          <w:tcPr>
            <w:tcW w:w="3962" w:type="dxa"/>
            <w:gridSpan w:val="10"/>
            <w:shd w:val="clear" w:color="auto" w:fill="auto"/>
          </w:tcPr>
          <w:p w14:paraId="35C46D24" w14:textId="77777777" w:rsidR="003E3B81" w:rsidRPr="0050413F" w:rsidRDefault="007606F6" w:rsidP="0050413F">
            <w:pPr>
              <w:spacing w:line="240" w:lineRule="auto"/>
              <w:rPr>
                <w:rFonts w:ascii="Times New Roman" w:hAnsi="Times New Roman"/>
                <w:color w:val="000000"/>
                <w:spacing w:val="-2"/>
              </w:rPr>
            </w:pPr>
            <w:r w:rsidRPr="0050413F">
              <w:rPr>
                <w:rFonts w:ascii="Times New Roman" w:hAnsi="Times New Roman"/>
                <w:color w:val="000000"/>
                <w:spacing w:val="-2"/>
              </w:rPr>
              <w:t>Konieczność uzyskiwania kodów identyfikacji</w:t>
            </w:r>
          </w:p>
        </w:tc>
      </w:tr>
      <w:tr w:rsidR="004A08DC" w:rsidRPr="0050413F" w14:paraId="6CB5ADF9" w14:textId="77777777" w:rsidTr="0050413F">
        <w:trPr>
          <w:gridAfter w:val="1"/>
          <w:wAfter w:w="10" w:type="dxa"/>
          <w:trHeight w:val="142"/>
        </w:trPr>
        <w:tc>
          <w:tcPr>
            <w:tcW w:w="3290" w:type="dxa"/>
            <w:gridSpan w:val="4"/>
            <w:shd w:val="clear" w:color="auto" w:fill="auto"/>
          </w:tcPr>
          <w:p w14:paraId="09D6015A" w14:textId="01A1D46A" w:rsidR="004A08DC" w:rsidRPr="0050413F" w:rsidRDefault="004A08DC" w:rsidP="004A08DC">
            <w:pPr>
              <w:tabs>
                <w:tab w:val="left" w:pos="1560"/>
              </w:tabs>
              <w:spacing w:line="240" w:lineRule="auto"/>
              <w:rPr>
                <w:rFonts w:ascii="Times New Roman" w:hAnsi="Times New Roman"/>
                <w:color w:val="000000"/>
              </w:rPr>
            </w:pPr>
            <w:r>
              <w:rPr>
                <w:rFonts w:ascii="Times New Roman" w:hAnsi="Times New Roman"/>
              </w:rPr>
              <w:t>Właściciele lub zarządcy budynków zobowiązani do montażu infrastruktury przeznaczonej na potrzeby ładowania pojazdów elektrycznych</w:t>
            </w:r>
          </w:p>
        </w:tc>
        <w:tc>
          <w:tcPr>
            <w:tcW w:w="1417" w:type="dxa"/>
            <w:gridSpan w:val="5"/>
            <w:shd w:val="clear" w:color="auto" w:fill="auto"/>
          </w:tcPr>
          <w:p w14:paraId="385E9B09" w14:textId="77777777" w:rsidR="004A08DC" w:rsidRDefault="004A08DC" w:rsidP="004A08DC">
            <w:pPr>
              <w:spacing w:line="240" w:lineRule="auto"/>
              <w:jc w:val="both"/>
              <w:rPr>
                <w:rFonts w:ascii="Times New Roman" w:hAnsi="Times New Roman"/>
                <w:spacing w:val="-2"/>
              </w:rPr>
            </w:pPr>
          </w:p>
          <w:p w14:paraId="71FE993B" w14:textId="206E6869" w:rsidR="004A08DC" w:rsidRPr="0050413F" w:rsidRDefault="004A08DC" w:rsidP="004A08DC">
            <w:pPr>
              <w:spacing w:line="240" w:lineRule="auto"/>
              <w:rPr>
                <w:rFonts w:ascii="Times New Roman" w:hAnsi="Times New Roman"/>
                <w:color w:val="000000"/>
                <w:spacing w:val="-2"/>
              </w:rPr>
            </w:pPr>
            <w:r>
              <w:rPr>
                <w:rFonts w:ascii="Times New Roman" w:hAnsi="Times New Roman"/>
              </w:rPr>
              <w:t>ok. 26000/rocznie (na podstawie liczby budynków wielorodzinnych oraz budynków niemieszkalnych oddawanych do użytkowania w 2019r.</w:t>
            </w:r>
          </w:p>
        </w:tc>
        <w:tc>
          <w:tcPr>
            <w:tcW w:w="2268" w:type="dxa"/>
            <w:gridSpan w:val="10"/>
            <w:shd w:val="clear" w:color="auto" w:fill="auto"/>
          </w:tcPr>
          <w:p w14:paraId="4F496DD6" w14:textId="46A855AB" w:rsidR="004A08DC" w:rsidRPr="0050413F" w:rsidRDefault="004A08DC" w:rsidP="004A08DC">
            <w:pPr>
              <w:spacing w:line="240" w:lineRule="auto"/>
              <w:rPr>
                <w:rFonts w:ascii="Times New Roman" w:hAnsi="Times New Roman"/>
                <w:color w:val="000000"/>
                <w:spacing w:val="-2"/>
              </w:rPr>
            </w:pPr>
            <w:r>
              <w:rPr>
                <w:rFonts w:ascii="Times New Roman" w:hAnsi="Times New Roman"/>
                <w:spacing w:val="-2"/>
              </w:rPr>
              <w:t>GUS Budownictwo 2019</w:t>
            </w:r>
          </w:p>
        </w:tc>
        <w:tc>
          <w:tcPr>
            <w:tcW w:w="3962" w:type="dxa"/>
            <w:gridSpan w:val="10"/>
            <w:shd w:val="clear" w:color="auto" w:fill="auto"/>
          </w:tcPr>
          <w:p w14:paraId="4F0778E4" w14:textId="42EB4C93" w:rsidR="004A08DC" w:rsidRPr="0050413F" w:rsidRDefault="004A08DC" w:rsidP="004A08DC">
            <w:pPr>
              <w:spacing w:line="240" w:lineRule="auto"/>
              <w:rPr>
                <w:rFonts w:ascii="Times New Roman" w:hAnsi="Times New Roman"/>
                <w:color w:val="000000"/>
                <w:spacing w:val="-2"/>
              </w:rPr>
            </w:pPr>
            <w:r>
              <w:rPr>
                <w:rFonts w:ascii="Times New Roman" w:hAnsi="Times New Roman"/>
                <w:spacing w:val="-2"/>
              </w:rPr>
              <w:t>Montaż infrastruktury przeznaczonej dla pojazdów elektrycznych</w:t>
            </w:r>
          </w:p>
        </w:tc>
      </w:tr>
      <w:tr w:rsidR="004A08DC" w:rsidRPr="0050413F" w14:paraId="7300ABF0" w14:textId="77777777" w:rsidTr="0050413F">
        <w:trPr>
          <w:gridAfter w:val="1"/>
          <w:wAfter w:w="10" w:type="dxa"/>
          <w:trHeight w:val="142"/>
        </w:trPr>
        <w:tc>
          <w:tcPr>
            <w:tcW w:w="3290" w:type="dxa"/>
            <w:gridSpan w:val="4"/>
            <w:shd w:val="clear" w:color="auto" w:fill="auto"/>
          </w:tcPr>
          <w:p w14:paraId="149EA248" w14:textId="57E579DE" w:rsidR="004A08DC" w:rsidRPr="0050413F" w:rsidRDefault="004A08DC" w:rsidP="004A08DC">
            <w:pPr>
              <w:tabs>
                <w:tab w:val="left" w:pos="1560"/>
              </w:tabs>
              <w:spacing w:line="240" w:lineRule="auto"/>
              <w:rPr>
                <w:rFonts w:ascii="Times New Roman" w:hAnsi="Times New Roman"/>
                <w:color w:val="000000"/>
              </w:rPr>
            </w:pPr>
            <w:r>
              <w:rPr>
                <w:rFonts w:ascii="Times New Roman" w:hAnsi="Times New Roman"/>
                <w:spacing w:val="-2"/>
              </w:rPr>
              <w:t>Projektanci</w:t>
            </w:r>
          </w:p>
        </w:tc>
        <w:tc>
          <w:tcPr>
            <w:tcW w:w="1417" w:type="dxa"/>
            <w:gridSpan w:val="5"/>
            <w:shd w:val="clear" w:color="auto" w:fill="auto"/>
          </w:tcPr>
          <w:p w14:paraId="24C46738" w14:textId="19812B05" w:rsidR="004A08DC" w:rsidRPr="0050413F" w:rsidRDefault="004A08DC" w:rsidP="004A08DC">
            <w:pPr>
              <w:spacing w:line="240" w:lineRule="auto"/>
              <w:rPr>
                <w:rFonts w:ascii="Times New Roman" w:hAnsi="Times New Roman"/>
                <w:color w:val="000000"/>
                <w:spacing w:val="-2"/>
              </w:rPr>
            </w:pPr>
            <w:r>
              <w:rPr>
                <w:rFonts w:ascii="Times New Roman" w:hAnsi="Times New Roman"/>
                <w:spacing w:val="-2"/>
              </w:rPr>
              <w:t>115316</w:t>
            </w:r>
          </w:p>
        </w:tc>
        <w:tc>
          <w:tcPr>
            <w:tcW w:w="2268" w:type="dxa"/>
            <w:gridSpan w:val="10"/>
            <w:shd w:val="clear" w:color="auto" w:fill="auto"/>
          </w:tcPr>
          <w:p w14:paraId="1DB898A0" w14:textId="0B5C0B7A" w:rsidR="004A08DC" w:rsidRPr="0050413F" w:rsidRDefault="004A08DC" w:rsidP="004A08DC">
            <w:pPr>
              <w:spacing w:line="240" w:lineRule="auto"/>
              <w:rPr>
                <w:rFonts w:ascii="Times New Roman" w:hAnsi="Times New Roman"/>
                <w:color w:val="000000"/>
                <w:spacing w:val="-2"/>
              </w:rPr>
            </w:pPr>
            <w:r>
              <w:rPr>
                <w:rFonts w:ascii="Times New Roman" w:hAnsi="Times New Roman"/>
                <w:spacing w:val="-2"/>
              </w:rPr>
              <w:t>Polska Izba Inżynierów Budownictwa</w:t>
            </w:r>
          </w:p>
        </w:tc>
        <w:tc>
          <w:tcPr>
            <w:tcW w:w="3962" w:type="dxa"/>
            <w:gridSpan w:val="10"/>
            <w:shd w:val="clear" w:color="auto" w:fill="auto"/>
          </w:tcPr>
          <w:p w14:paraId="4DC3FE54" w14:textId="653104AF" w:rsidR="004A08DC" w:rsidRPr="0050413F" w:rsidRDefault="004A08DC" w:rsidP="004A08DC">
            <w:pPr>
              <w:spacing w:line="240" w:lineRule="auto"/>
              <w:rPr>
                <w:rFonts w:ascii="Times New Roman" w:hAnsi="Times New Roman"/>
                <w:color w:val="000000"/>
                <w:spacing w:val="-2"/>
              </w:rPr>
            </w:pPr>
            <w:r>
              <w:rPr>
                <w:rFonts w:ascii="Times New Roman" w:hAnsi="Times New Roman"/>
                <w:spacing w:val="-2"/>
              </w:rPr>
              <w:t>Konieczność uwzględnienia zapisów ustawy wprowadzanej regulacji</w:t>
            </w:r>
          </w:p>
        </w:tc>
      </w:tr>
      <w:tr w:rsidR="004A08DC" w:rsidRPr="0050413F" w14:paraId="5C69ECD0" w14:textId="77777777" w:rsidTr="0050413F">
        <w:trPr>
          <w:gridAfter w:val="1"/>
          <w:wAfter w:w="10" w:type="dxa"/>
          <w:trHeight w:val="142"/>
        </w:trPr>
        <w:tc>
          <w:tcPr>
            <w:tcW w:w="3290" w:type="dxa"/>
            <w:gridSpan w:val="4"/>
            <w:shd w:val="clear" w:color="auto" w:fill="auto"/>
          </w:tcPr>
          <w:p w14:paraId="7AA835D7" w14:textId="248DA4B6" w:rsidR="004A08DC" w:rsidRPr="0050413F" w:rsidRDefault="004A08DC" w:rsidP="004A08DC">
            <w:pPr>
              <w:tabs>
                <w:tab w:val="left" w:pos="1560"/>
              </w:tabs>
              <w:spacing w:line="240" w:lineRule="auto"/>
              <w:rPr>
                <w:rFonts w:ascii="Times New Roman" w:hAnsi="Times New Roman"/>
                <w:color w:val="000000"/>
              </w:rPr>
            </w:pPr>
            <w:r>
              <w:rPr>
                <w:rFonts w:ascii="Times New Roman" w:hAnsi="Times New Roman"/>
                <w:spacing w:val="-2"/>
              </w:rPr>
              <w:t>Inwestorzy  (w tym deweloperzy i inwestorzy indywidualni)</w:t>
            </w:r>
          </w:p>
        </w:tc>
        <w:tc>
          <w:tcPr>
            <w:tcW w:w="1417" w:type="dxa"/>
            <w:gridSpan w:val="5"/>
            <w:shd w:val="clear" w:color="auto" w:fill="auto"/>
          </w:tcPr>
          <w:p w14:paraId="68F4AC9C" w14:textId="77777777" w:rsidR="004A08DC" w:rsidRDefault="004A08DC" w:rsidP="004A08DC">
            <w:pPr>
              <w:spacing w:line="240" w:lineRule="auto"/>
              <w:rPr>
                <w:rFonts w:ascii="Times New Roman" w:hAnsi="Times New Roman"/>
                <w:color w:val="FF0000"/>
                <w:spacing w:val="-2"/>
              </w:rPr>
            </w:pPr>
            <w:r>
              <w:rPr>
                <w:rFonts w:ascii="Times New Roman" w:hAnsi="Times New Roman"/>
                <w:spacing w:val="-2"/>
              </w:rPr>
              <w:t xml:space="preserve">ok. 201 517 pozwoleń na budowę </w:t>
            </w:r>
          </w:p>
          <w:p w14:paraId="0D8EDC5A" w14:textId="77777777" w:rsidR="004A08DC" w:rsidRDefault="004A08DC" w:rsidP="004A08DC">
            <w:pPr>
              <w:spacing w:line="240" w:lineRule="auto"/>
              <w:rPr>
                <w:rFonts w:ascii="Times New Roman" w:hAnsi="Times New Roman"/>
                <w:color w:val="FF0000"/>
                <w:spacing w:val="-2"/>
              </w:rPr>
            </w:pPr>
            <w:r>
              <w:rPr>
                <w:rFonts w:ascii="Times New Roman" w:hAnsi="Times New Roman"/>
                <w:spacing w:val="-2"/>
              </w:rPr>
              <w:t>ok. 27 181 przyjętych zgłoszeń</w:t>
            </w:r>
          </w:p>
          <w:p w14:paraId="2226659B" w14:textId="3CA82FF4" w:rsidR="004A08DC" w:rsidRPr="0050413F" w:rsidRDefault="004A08DC" w:rsidP="004A08DC">
            <w:pPr>
              <w:spacing w:line="240" w:lineRule="auto"/>
              <w:rPr>
                <w:rFonts w:ascii="Times New Roman" w:hAnsi="Times New Roman"/>
                <w:color w:val="000000"/>
                <w:spacing w:val="-2"/>
              </w:rPr>
            </w:pPr>
            <w:r>
              <w:rPr>
                <w:rFonts w:ascii="Times New Roman" w:hAnsi="Times New Roman"/>
                <w:spacing w:val="-2"/>
              </w:rPr>
              <w:t>ok. 192 883 obiektów oddanych do użytkowania</w:t>
            </w:r>
          </w:p>
        </w:tc>
        <w:tc>
          <w:tcPr>
            <w:tcW w:w="2268" w:type="dxa"/>
            <w:gridSpan w:val="10"/>
            <w:shd w:val="clear" w:color="auto" w:fill="auto"/>
          </w:tcPr>
          <w:p w14:paraId="36149F62" w14:textId="1B447384" w:rsidR="004A08DC" w:rsidRPr="0050413F" w:rsidRDefault="004A08DC" w:rsidP="004A08DC">
            <w:pPr>
              <w:spacing w:line="240" w:lineRule="auto"/>
              <w:rPr>
                <w:rFonts w:ascii="Times New Roman" w:hAnsi="Times New Roman"/>
                <w:color w:val="000000"/>
                <w:spacing w:val="-2"/>
              </w:rPr>
            </w:pPr>
            <w:r>
              <w:rPr>
                <w:rFonts w:ascii="Times New Roman" w:hAnsi="Times New Roman"/>
                <w:spacing w:val="-2"/>
              </w:rPr>
              <w:t>Główny Urząd Nadzoru Budowlanego  (Ruch budowlany 2019 r.)</w:t>
            </w:r>
          </w:p>
        </w:tc>
        <w:tc>
          <w:tcPr>
            <w:tcW w:w="3962" w:type="dxa"/>
            <w:gridSpan w:val="10"/>
            <w:shd w:val="clear" w:color="auto" w:fill="auto"/>
          </w:tcPr>
          <w:p w14:paraId="503355A8" w14:textId="2C105A8F" w:rsidR="004A08DC" w:rsidRPr="0050413F" w:rsidRDefault="004A08DC" w:rsidP="004A08DC">
            <w:pPr>
              <w:spacing w:line="240" w:lineRule="auto"/>
              <w:rPr>
                <w:rFonts w:ascii="Times New Roman" w:hAnsi="Times New Roman"/>
                <w:color w:val="000000"/>
                <w:spacing w:val="-2"/>
              </w:rPr>
            </w:pPr>
            <w:r>
              <w:rPr>
                <w:rFonts w:ascii="Times New Roman" w:hAnsi="Times New Roman"/>
                <w:spacing w:val="-2"/>
              </w:rPr>
              <w:t>Konieczność uwzględnienia w realizacji zamierzeń budowlanych</w:t>
            </w:r>
          </w:p>
        </w:tc>
      </w:tr>
      <w:tr w:rsidR="002C75EF" w:rsidRPr="0050413F" w14:paraId="1648A3AC" w14:textId="77777777" w:rsidTr="00676C8D">
        <w:trPr>
          <w:gridAfter w:val="1"/>
          <w:wAfter w:w="10" w:type="dxa"/>
          <w:trHeight w:val="302"/>
        </w:trPr>
        <w:tc>
          <w:tcPr>
            <w:tcW w:w="10937" w:type="dxa"/>
            <w:gridSpan w:val="29"/>
            <w:shd w:val="clear" w:color="auto" w:fill="99CCFF"/>
            <w:vAlign w:val="center"/>
          </w:tcPr>
          <w:p w14:paraId="3518DFA6" w14:textId="77777777" w:rsidR="002C75EF" w:rsidRPr="0050413F" w:rsidRDefault="002C75EF" w:rsidP="0050413F">
            <w:pPr>
              <w:numPr>
                <w:ilvl w:val="0"/>
                <w:numId w:val="3"/>
              </w:numPr>
              <w:spacing w:line="240" w:lineRule="auto"/>
              <w:ind w:left="318" w:hanging="284"/>
              <w:jc w:val="both"/>
              <w:rPr>
                <w:rFonts w:ascii="Times New Roman" w:hAnsi="Times New Roman"/>
                <w:b/>
                <w:color w:val="000000"/>
              </w:rPr>
            </w:pPr>
            <w:r w:rsidRPr="0050413F">
              <w:rPr>
                <w:rFonts w:ascii="Times New Roman" w:hAnsi="Times New Roman"/>
                <w:b/>
                <w:color w:val="000000"/>
              </w:rPr>
              <w:t>Informacje na temat zakresu, czasu trwania i podsumowanie wyników konsultacji</w:t>
            </w:r>
          </w:p>
        </w:tc>
      </w:tr>
      <w:tr w:rsidR="00CB5261" w:rsidRPr="0050413F" w14:paraId="5123E683" w14:textId="77777777" w:rsidTr="002433DB">
        <w:trPr>
          <w:gridAfter w:val="1"/>
          <w:wAfter w:w="10" w:type="dxa"/>
          <w:trHeight w:val="342"/>
        </w:trPr>
        <w:tc>
          <w:tcPr>
            <w:tcW w:w="10937" w:type="dxa"/>
            <w:gridSpan w:val="29"/>
            <w:shd w:val="clear" w:color="auto" w:fill="auto"/>
          </w:tcPr>
          <w:p w14:paraId="61438B03" w14:textId="51285DCC" w:rsidR="005D5317" w:rsidRDefault="005D5317" w:rsidP="0050413F">
            <w:pPr>
              <w:tabs>
                <w:tab w:val="left" w:pos="280"/>
              </w:tabs>
              <w:spacing w:line="240" w:lineRule="auto"/>
              <w:jc w:val="both"/>
              <w:rPr>
                <w:rFonts w:ascii="Times New Roman" w:hAnsi="Times New Roman"/>
                <w:spacing w:val="-2"/>
              </w:rPr>
            </w:pPr>
            <w:r w:rsidRPr="005D5317">
              <w:rPr>
                <w:rFonts w:ascii="Times New Roman" w:hAnsi="Times New Roman"/>
                <w:spacing w:val="-2"/>
              </w:rPr>
              <w:t xml:space="preserve">Projekt nie był przedmiotem pre-konsultacji. </w:t>
            </w:r>
          </w:p>
          <w:p w14:paraId="7F13D5BC" w14:textId="7E9404A2" w:rsidR="005D5317" w:rsidRPr="005D5317" w:rsidRDefault="005D5317" w:rsidP="005D5317">
            <w:pPr>
              <w:tabs>
                <w:tab w:val="left" w:pos="280"/>
              </w:tabs>
              <w:spacing w:line="240" w:lineRule="auto"/>
              <w:jc w:val="both"/>
              <w:rPr>
                <w:rFonts w:ascii="Times New Roman" w:hAnsi="Times New Roman"/>
                <w:spacing w:val="-2"/>
              </w:rPr>
            </w:pPr>
            <w:r w:rsidRPr="005D5317">
              <w:rPr>
                <w:rFonts w:ascii="Times New Roman" w:hAnsi="Times New Roman"/>
                <w:spacing w:val="-2"/>
              </w:rPr>
              <w:t>Projekt, zgodnie z art. 5 ustawy z dnia 7 lipca 2005 r. o działalności lobbingowej w procesie stanowienia prawa i § 52 uchwały nr 190 Rady Ministrów z dnia 29 października 2013 r. – Regulamin pracy Rady Ministrów, zosta</w:t>
            </w:r>
            <w:r>
              <w:rPr>
                <w:rFonts w:ascii="Times New Roman" w:hAnsi="Times New Roman"/>
                <w:spacing w:val="-2"/>
              </w:rPr>
              <w:t>ł</w:t>
            </w:r>
            <w:r w:rsidRPr="005D5317">
              <w:rPr>
                <w:rFonts w:ascii="Times New Roman" w:hAnsi="Times New Roman"/>
                <w:spacing w:val="-2"/>
              </w:rPr>
              <w:t xml:space="preserve"> udostępniony w Biuletynie Informacji Publicznej, na stronie podmiotowej Rządowego Centrum Legislacji, w serwisie Rządowy Proces Legislacyjny. </w:t>
            </w:r>
          </w:p>
          <w:p w14:paraId="6AABBD19" w14:textId="6CF8645B" w:rsidR="00CB5261" w:rsidRPr="0050413F" w:rsidRDefault="00CB5261" w:rsidP="0050413F">
            <w:pPr>
              <w:tabs>
                <w:tab w:val="left" w:pos="270"/>
              </w:tabs>
              <w:spacing w:line="240" w:lineRule="auto"/>
              <w:jc w:val="both"/>
              <w:rPr>
                <w:rFonts w:ascii="Times New Roman" w:hAnsi="Times New Roman"/>
                <w:spacing w:val="-2"/>
              </w:rPr>
            </w:pPr>
            <w:r w:rsidRPr="0050413F">
              <w:rPr>
                <w:rFonts w:ascii="Times New Roman" w:hAnsi="Times New Roman"/>
                <w:spacing w:val="-2"/>
              </w:rPr>
              <w:t xml:space="preserve">Projekt </w:t>
            </w:r>
            <w:r w:rsidR="002676C8">
              <w:rPr>
                <w:rFonts w:ascii="Times New Roman" w:hAnsi="Times New Roman"/>
                <w:spacing w:val="-2"/>
              </w:rPr>
              <w:t xml:space="preserve">został przekazany do </w:t>
            </w:r>
            <w:r w:rsidRPr="0050413F">
              <w:rPr>
                <w:rFonts w:ascii="Times New Roman" w:hAnsi="Times New Roman"/>
                <w:spacing w:val="-2"/>
              </w:rPr>
              <w:t xml:space="preserve">konsultacji publicznych </w:t>
            </w:r>
            <w:r w:rsidR="0050413F" w:rsidRPr="0050413F">
              <w:rPr>
                <w:rFonts w:ascii="Times New Roman" w:hAnsi="Times New Roman"/>
                <w:spacing w:val="-2"/>
              </w:rPr>
              <w:t xml:space="preserve">(21 dni) </w:t>
            </w:r>
            <w:r w:rsidR="002676C8">
              <w:rPr>
                <w:rFonts w:ascii="Times New Roman" w:hAnsi="Times New Roman"/>
                <w:spacing w:val="-2"/>
              </w:rPr>
              <w:t>do następujących podmiotów</w:t>
            </w:r>
            <w:r w:rsidRPr="0050413F">
              <w:rPr>
                <w:rFonts w:ascii="Times New Roman" w:hAnsi="Times New Roman"/>
                <w:spacing w:val="-2"/>
              </w:rPr>
              <w:t>:</w:t>
            </w:r>
          </w:p>
          <w:p w14:paraId="59825075"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Polskie Sieci Elektroenergetyczne SA;</w:t>
            </w:r>
          </w:p>
          <w:p w14:paraId="77557350"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lastRenderedPageBreak/>
              <w:t>Towarzystwo Obrotu Energią;</w:t>
            </w:r>
          </w:p>
          <w:p w14:paraId="2435C9F6"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Polskie Towarzystwo Przesyłu i Rozdziału Energii Elektrycznej;</w:t>
            </w:r>
          </w:p>
          <w:p w14:paraId="3E91AC9F"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Federacja Konsumentów;</w:t>
            </w:r>
          </w:p>
          <w:p w14:paraId="759829D3"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Polski Komitet Energii Elektrycznej;</w:t>
            </w:r>
          </w:p>
          <w:p w14:paraId="69896A3A"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Krajowa Izba Gospodarcza Elektroniki i Telekomunikacji;</w:t>
            </w:r>
          </w:p>
          <w:p w14:paraId="57BD2689"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Polskie Stowarzyszenie Paliw Alternatywnych;</w:t>
            </w:r>
          </w:p>
          <w:p w14:paraId="0E7C2C17"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Fundacja Promocji Pojazdów Elektrycznych;</w:t>
            </w:r>
          </w:p>
          <w:p w14:paraId="4CB42B6C"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Polskie Stowarzyszenie Elektromobilności;</w:t>
            </w:r>
          </w:p>
          <w:p w14:paraId="36F2A97F"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Krajowa Izba Gospodarcza</w:t>
            </w:r>
            <w:bookmarkStart w:id="3" w:name="OLE_LINK1"/>
            <w:bookmarkStart w:id="4" w:name="OLE_LINK2"/>
            <w:r w:rsidRPr="0050413F">
              <w:rPr>
                <w:sz w:val="22"/>
                <w:szCs w:val="22"/>
              </w:rPr>
              <w:t>;</w:t>
            </w:r>
          </w:p>
          <w:p w14:paraId="165D501F"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Polska Izba Motoryzacji;</w:t>
            </w:r>
          </w:p>
          <w:p w14:paraId="14D766B8"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Polski Związek Przemysłu Motoryzacyjnego</w:t>
            </w:r>
            <w:bookmarkEnd w:id="3"/>
            <w:bookmarkEnd w:id="4"/>
            <w:r w:rsidRPr="0050413F">
              <w:rPr>
                <w:sz w:val="22"/>
                <w:szCs w:val="22"/>
              </w:rPr>
              <w:t>;</w:t>
            </w:r>
          </w:p>
          <w:p w14:paraId="268C4FD3"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Polski Kongres Drogowy;</w:t>
            </w:r>
          </w:p>
          <w:p w14:paraId="6FDF2738"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Związek Dealerów Samochodowych;</w:t>
            </w:r>
          </w:p>
          <w:p w14:paraId="5EF079D1"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rFonts w:eastAsia="Times New Roman"/>
                <w:bCs/>
                <w:sz w:val="22"/>
                <w:szCs w:val="22"/>
              </w:rPr>
              <w:t>Polska Platforma LNG;</w:t>
            </w:r>
          </w:p>
          <w:p w14:paraId="4A7E251C" w14:textId="77777777" w:rsidR="00CB5261" w:rsidRPr="0050413F" w:rsidRDefault="00CB5261" w:rsidP="0050413F">
            <w:pPr>
              <w:pStyle w:val="trescpisma"/>
              <w:numPr>
                <w:ilvl w:val="0"/>
                <w:numId w:val="27"/>
              </w:numPr>
              <w:spacing w:after="0" w:line="240" w:lineRule="auto"/>
              <w:ind w:left="350" w:hanging="350"/>
              <w:rPr>
                <w:sz w:val="22"/>
                <w:szCs w:val="22"/>
                <w:lang w:val="en-GB"/>
              </w:rPr>
            </w:pPr>
            <w:r w:rsidRPr="0050413F">
              <w:rPr>
                <w:rFonts w:eastAsia="Times New Roman"/>
                <w:bCs/>
                <w:sz w:val="22"/>
                <w:szCs w:val="22"/>
                <w:lang w:val="en-GB"/>
              </w:rPr>
              <w:t>Greenway Sp. z o.o.</w:t>
            </w:r>
          </w:p>
          <w:p w14:paraId="6462895F"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rFonts w:eastAsia="Times New Roman"/>
                <w:bCs/>
                <w:sz w:val="22"/>
                <w:szCs w:val="22"/>
              </w:rPr>
              <w:t>PKN Orlen S.A.</w:t>
            </w:r>
          </w:p>
          <w:p w14:paraId="333CF86D"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rFonts w:eastAsia="Times New Roman"/>
                <w:bCs/>
                <w:sz w:val="22"/>
                <w:szCs w:val="22"/>
              </w:rPr>
              <w:t>TAURON S.A.,</w:t>
            </w:r>
          </w:p>
          <w:p w14:paraId="45132B30"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rFonts w:eastAsia="Times New Roman"/>
                <w:bCs/>
                <w:sz w:val="22"/>
                <w:szCs w:val="22"/>
              </w:rPr>
              <w:t>ENERGA S.A.</w:t>
            </w:r>
          </w:p>
          <w:p w14:paraId="0B6CB61E"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rFonts w:eastAsia="Times New Roman"/>
                <w:bCs/>
                <w:sz w:val="22"/>
                <w:szCs w:val="22"/>
              </w:rPr>
              <w:t xml:space="preserve">LOTOS S.A. </w:t>
            </w:r>
          </w:p>
          <w:p w14:paraId="64936308"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rFonts w:eastAsia="Times New Roman"/>
                <w:bCs/>
                <w:sz w:val="22"/>
                <w:szCs w:val="22"/>
              </w:rPr>
              <w:t>ENEA S.A.</w:t>
            </w:r>
          </w:p>
          <w:p w14:paraId="054B0459"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rFonts w:eastAsia="Times New Roman"/>
                <w:bCs/>
                <w:sz w:val="22"/>
                <w:szCs w:val="22"/>
              </w:rPr>
              <w:t>PGE S.A.</w:t>
            </w:r>
          </w:p>
          <w:p w14:paraId="29F28707" w14:textId="35D8BB10" w:rsidR="0013433E" w:rsidRPr="0050413F" w:rsidRDefault="0013433E" w:rsidP="0050413F">
            <w:pPr>
              <w:pStyle w:val="trescpisma"/>
              <w:numPr>
                <w:ilvl w:val="0"/>
                <w:numId w:val="27"/>
              </w:numPr>
              <w:spacing w:after="0" w:line="240" w:lineRule="auto"/>
              <w:ind w:left="350" w:hanging="350"/>
              <w:rPr>
                <w:sz w:val="22"/>
                <w:szCs w:val="22"/>
              </w:rPr>
            </w:pPr>
            <w:r w:rsidRPr="0050413F">
              <w:rPr>
                <w:sz w:val="22"/>
                <w:szCs w:val="22"/>
              </w:rPr>
              <w:t>Izba Gospodarcza Komunikacji Miejskiej</w:t>
            </w:r>
            <w:r w:rsidR="0050413F" w:rsidRPr="0050413F">
              <w:rPr>
                <w:sz w:val="22"/>
                <w:szCs w:val="22"/>
              </w:rPr>
              <w:t>;</w:t>
            </w:r>
          </w:p>
          <w:p w14:paraId="7E692CA7" w14:textId="6E44A153" w:rsidR="0050413F" w:rsidRPr="0050413F" w:rsidRDefault="0050413F" w:rsidP="0050413F">
            <w:pPr>
              <w:pStyle w:val="trescpisma"/>
              <w:numPr>
                <w:ilvl w:val="0"/>
                <w:numId w:val="27"/>
              </w:numPr>
              <w:spacing w:after="0" w:line="240" w:lineRule="auto"/>
              <w:ind w:left="350" w:hanging="350"/>
              <w:rPr>
                <w:sz w:val="22"/>
                <w:szCs w:val="22"/>
              </w:rPr>
            </w:pPr>
            <w:r w:rsidRPr="0050413F">
              <w:rPr>
                <w:sz w:val="22"/>
                <w:szCs w:val="22"/>
              </w:rPr>
              <w:t>Stowarzyszenie Architektów Polskich</w:t>
            </w:r>
            <w:r>
              <w:rPr>
                <w:sz w:val="22"/>
                <w:szCs w:val="22"/>
              </w:rPr>
              <w:t>;</w:t>
            </w:r>
          </w:p>
          <w:p w14:paraId="23E30BB7" w14:textId="59EDEF14" w:rsidR="0050413F" w:rsidRPr="0050413F" w:rsidRDefault="0050413F" w:rsidP="0050413F">
            <w:pPr>
              <w:pStyle w:val="trescpisma"/>
              <w:numPr>
                <w:ilvl w:val="0"/>
                <w:numId w:val="27"/>
              </w:numPr>
              <w:spacing w:after="0" w:line="240" w:lineRule="auto"/>
              <w:ind w:left="350" w:hanging="350"/>
              <w:rPr>
                <w:sz w:val="22"/>
                <w:szCs w:val="22"/>
              </w:rPr>
            </w:pPr>
            <w:r w:rsidRPr="0050413F">
              <w:rPr>
                <w:sz w:val="22"/>
                <w:szCs w:val="22"/>
              </w:rPr>
              <w:t>Stowarzyszenie Architektury Krajobrazu</w:t>
            </w:r>
            <w:r>
              <w:rPr>
                <w:sz w:val="22"/>
                <w:szCs w:val="22"/>
              </w:rPr>
              <w:t>;</w:t>
            </w:r>
          </w:p>
          <w:p w14:paraId="5845277F" w14:textId="17F9AAE9" w:rsidR="0050413F" w:rsidRPr="0050413F" w:rsidRDefault="0050413F" w:rsidP="0050413F">
            <w:pPr>
              <w:pStyle w:val="trescpisma"/>
              <w:numPr>
                <w:ilvl w:val="0"/>
                <w:numId w:val="27"/>
              </w:numPr>
              <w:spacing w:after="0" w:line="240" w:lineRule="auto"/>
              <w:ind w:left="350" w:hanging="350"/>
              <w:rPr>
                <w:sz w:val="22"/>
                <w:szCs w:val="22"/>
              </w:rPr>
            </w:pPr>
            <w:r w:rsidRPr="0050413F">
              <w:rPr>
                <w:sz w:val="22"/>
                <w:szCs w:val="22"/>
              </w:rPr>
              <w:t>Stowarzyszenie Urbaniści Polscy</w:t>
            </w:r>
            <w:r>
              <w:rPr>
                <w:sz w:val="22"/>
                <w:szCs w:val="22"/>
              </w:rPr>
              <w:t>;</w:t>
            </w:r>
          </w:p>
          <w:p w14:paraId="568D1613" w14:textId="601E5B8C" w:rsidR="0050413F" w:rsidRPr="0050413F" w:rsidRDefault="0050413F" w:rsidP="0050413F">
            <w:pPr>
              <w:pStyle w:val="trescpisma"/>
              <w:numPr>
                <w:ilvl w:val="0"/>
                <w:numId w:val="27"/>
              </w:numPr>
              <w:spacing w:after="0" w:line="240" w:lineRule="auto"/>
              <w:ind w:left="350" w:hanging="350"/>
              <w:rPr>
                <w:sz w:val="22"/>
                <w:szCs w:val="22"/>
              </w:rPr>
            </w:pPr>
            <w:r w:rsidRPr="0050413F">
              <w:rPr>
                <w:sz w:val="22"/>
                <w:szCs w:val="22"/>
              </w:rPr>
              <w:t>Towarzystwo Urbanistów Polskich</w:t>
            </w:r>
            <w:r>
              <w:rPr>
                <w:sz w:val="22"/>
                <w:szCs w:val="22"/>
              </w:rPr>
              <w:t>.</w:t>
            </w:r>
          </w:p>
          <w:p w14:paraId="4347435D" w14:textId="470ABBCF" w:rsidR="0050413F" w:rsidRPr="0050413F" w:rsidRDefault="0050413F" w:rsidP="0050413F">
            <w:pPr>
              <w:spacing w:line="240" w:lineRule="auto"/>
              <w:jc w:val="both"/>
              <w:rPr>
                <w:rFonts w:ascii="Times New Roman" w:hAnsi="Times New Roman"/>
              </w:rPr>
            </w:pPr>
            <w:r w:rsidRPr="0050413F">
              <w:rPr>
                <w:rFonts w:ascii="Times New Roman" w:hAnsi="Times New Roman"/>
              </w:rPr>
              <w:t>Projekt zosta</w:t>
            </w:r>
            <w:r w:rsidR="00A23D3E">
              <w:rPr>
                <w:rFonts w:ascii="Times New Roman" w:hAnsi="Times New Roman"/>
              </w:rPr>
              <w:t>ł</w:t>
            </w:r>
            <w:r w:rsidRPr="0050413F">
              <w:rPr>
                <w:rFonts w:ascii="Times New Roman" w:hAnsi="Times New Roman"/>
              </w:rPr>
              <w:t xml:space="preserve"> przekazany do zaopiniowania (21 dni) następującym podmiotom:</w:t>
            </w:r>
          </w:p>
          <w:p w14:paraId="2E0A1BD1" w14:textId="32696713"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Prezes Urzędu Regulacji Energetyki;</w:t>
            </w:r>
          </w:p>
          <w:p w14:paraId="54D9EC3A" w14:textId="79454824"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Prezes Urzędu Dozoru Technicznego;</w:t>
            </w:r>
          </w:p>
          <w:p w14:paraId="47485BF7" w14:textId="4B0F604D"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Prezes Urzędu Ochrony Konkurencji i Konsumenta;</w:t>
            </w:r>
          </w:p>
          <w:p w14:paraId="3DFCE5FA" w14:textId="11375AF4"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Prezes Prokuratorii Generalnej Rzeczypospolitej Polskiej;</w:t>
            </w:r>
          </w:p>
          <w:p w14:paraId="2A0F7A18" w14:textId="4527B722"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Prezes urzędu Zamówień Publicznych;</w:t>
            </w:r>
          </w:p>
          <w:p w14:paraId="2ECBAF21" w14:textId="6E298A90"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Rzecznik Małych i Średnich Przedsiębiorstw;</w:t>
            </w:r>
          </w:p>
          <w:p w14:paraId="570A589B" w14:textId="76FA4ED9"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Główny Inspektor Nadzoru Budowlanego;</w:t>
            </w:r>
          </w:p>
          <w:p w14:paraId="42F6276C" w14:textId="3BC471D8"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Generalny Konserwator Zabytków;</w:t>
            </w:r>
          </w:p>
          <w:p w14:paraId="78533066" w14:textId="1F5AD06F"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Komendant Główny Państwowej Straży Pożarnej;</w:t>
            </w:r>
          </w:p>
          <w:p w14:paraId="2A74B4EA" w14:textId="10872950"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Generalny Dyrektor Dróg Krajowych i Autostrad;</w:t>
            </w:r>
          </w:p>
          <w:p w14:paraId="19084E6C" w14:textId="426DFED9"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Dyrektor Transportowego Dozoru Technicznego.</w:t>
            </w:r>
          </w:p>
          <w:p w14:paraId="306107F4" w14:textId="01D3CB45" w:rsidR="000B7ADB" w:rsidRPr="0050413F" w:rsidRDefault="000B7ADB" w:rsidP="0050413F">
            <w:pPr>
              <w:spacing w:line="240" w:lineRule="auto"/>
              <w:jc w:val="both"/>
              <w:rPr>
                <w:rFonts w:ascii="Times New Roman" w:hAnsi="Times New Roman"/>
              </w:rPr>
            </w:pPr>
            <w:r w:rsidRPr="0050413F">
              <w:rPr>
                <w:rFonts w:ascii="Times New Roman" w:hAnsi="Times New Roman"/>
              </w:rPr>
              <w:t>Projekt zosta</w:t>
            </w:r>
            <w:r w:rsidR="00A23D3E">
              <w:rPr>
                <w:rFonts w:ascii="Times New Roman" w:hAnsi="Times New Roman"/>
              </w:rPr>
              <w:t>ł</w:t>
            </w:r>
            <w:r w:rsidRPr="0050413F">
              <w:rPr>
                <w:rFonts w:ascii="Times New Roman" w:hAnsi="Times New Roman"/>
              </w:rPr>
              <w:t xml:space="preserve"> przekazany do następujących reprezentatywnych organizacji pracodawców:  </w:t>
            </w:r>
          </w:p>
          <w:p w14:paraId="157AF196" w14:textId="77777777" w:rsidR="000B7ADB" w:rsidRPr="0050413F" w:rsidRDefault="000B7ADB" w:rsidP="0050413F">
            <w:pPr>
              <w:numPr>
                <w:ilvl w:val="0"/>
                <w:numId w:val="28"/>
              </w:numPr>
              <w:spacing w:line="240" w:lineRule="auto"/>
              <w:ind w:left="350" w:hanging="284"/>
              <w:jc w:val="both"/>
              <w:rPr>
                <w:rFonts w:ascii="Times New Roman" w:hAnsi="Times New Roman"/>
              </w:rPr>
            </w:pPr>
            <w:r w:rsidRPr="0050413F">
              <w:rPr>
                <w:rFonts w:ascii="Times New Roman" w:hAnsi="Times New Roman"/>
              </w:rPr>
              <w:t xml:space="preserve">Pracodawcy RP, </w:t>
            </w:r>
          </w:p>
          <w:p w14:paraId="2892C815" w14:textId="77777777" w:rsidR="000B7ADB" w:rsidRPr="0050413F" w:rsidRDefault="000B7ADB" w:rsidP="0050413F">
            <w:pPr>
              <w:numPr>
                <w:ilvl w:val="0"/>
                <w:numId w:val="28"/>
              </w:numPr>
              <w:spacing w:line="240" w:lineRule="auto"/>
              <w:ind w:left="350" w:hanging="284"/>
              <w:jc w:val="both"/>
              <w:rPr>
                <w:rFonts w:ascii="Times New Roman" w:hAnsi="Times New Roman"/>
              </w:rPr>
            </w:pPr>
            <w:r w:rsidRPr="0050413F">
              <w:rPr>
                <w:rFonts w:ascii="Times New Roman" w:hAnsi="Times New Roman"/>
              </w:rPr>
              <w:t xml:space="preserve">Konfederacja Lewiatan, </w:t>
            </w:r>
          </w:p>
          <w:p w14:paraId="22129723" w14:textId="77777777" w:rsidR="000B7ADB" w:rsidRPr="0050413F" w:rsidRDefault="000B7ADB" w:rsidP="0050413F">
            <w:pPr>
              <w:numPr>
                <w:ilvl w:val="0"/>
                <w:numId w:val="28"/>
              </w:numPr>
              <w:spacing w:line="240" w:lineRule="auto"/>
              <w:ind w:left="350" w:hanging="284"/>
              <w:jc w:val="both"/>
              <w:rPr>
                <w:rFonts w:ascii="Times New Roman" w:hAnsi="Times New Roman"/>
              </w:rPr>
            </w:pPr>
            <w:r w:rsidRPr="0050413F">
              <w:rPr>
                <w:rFonts w:ascii="Times New Roman" w:hAnsi="Times New Roman"/>
              </w:rPr>
              <w:t xml:space="preserve">Związek Rzemiosła Polskiego, </w:t>
            </w:r>
          </w:p>
          <w:p w14:paraId="3E3CD476" w14:textId="77777777" w:rsidR="000B7ADB" w:rsidRPr="0050413F" w:rsidRDefault="000B7ADB" w:rsidP="0050413F">
            <w:pPr>
              <w:numPr>
                <w:ilvl w:val="0"/>
                <w:numId w:val="28"/>
              </w:numPr>
              <w:spacing w:line="240" w:lineRule="auto"/>
              <w:ind w:left="350" w:hanging="284"/>
              <w:jc w:val="both"/>
              <w:rPr>
                <w:rFonts w:ascii="Times New Roman" w:hAnsi="Times New Roman"/>
              </w:rPr>
            </w:pPr>
            <w:r w:rsidRPr="0050413F">
              <w:rPr>
                <w:rFonts w:ascii="Times New Roman" w:hAnsi="Times New Roman"/>
              </w:rPr>
              <w:t xml:space="preserve">Związek Pracodawców Bussiness Centre Club, </w:t>
            </w:r>
          </w:p>
          <w:p w14:paraId="3EAF75EE" w14:textId="77777777" w:rsidR="006C0FD1" w:rsidRPr="0050413F" w:rsidRDefault="000B7ADB" w:rsidP="0050413F">
            <w:pPr>
              <w:numPr>
                <w:ilvl w:val="0"/>
                <w:numId w:val="28"/>
              </w:numPr>
              <w:spacing w:line="240" w:lineRule="auto"/>
              <w:ind w:left="350" w:hanging="284"/>
              <w:jc w:val="both"/>
              <w:rPr>
                <w:rFonts w:ascii="Times New Roman" w:hAnsi="Times New Roman"/>
              </w:rPr>
            </w:pPr>
            <w:r w:rsidRPr="0050413F">
              <w:rPr>
                <w:rFonts w:ascii="Times New Roman" w:hAnsi="Times New Roman"/>
              </w:rPr>
              <w:t>Związek Przedsiębiorców i Pracodawców.</w:t>
            </w:r>
          </w:p>
          <w:p w14:paraId="6648F1DE" w14:textId="77777777" w:rsidR="00CB5261" w:rsidRPr="0050413F" w:rsidRDefault="00CB5261" w:rsidP="0050413F">
            <w:pPr>
              <w:spacing w:line="240" w:lineRule="auto"/>
              <w:jc w:val="both"/>
              <w:rPr>
                <w:rFonts w:ascii="Times New Roman" w:hAnsi="Times New Roman"/>
                <w:spacing w:val="-2"/>
              </w:rPr>
            </w:pPr>
            <w:r w:rsidRPr="0050413F">
              <w:rPr>
                <w:rFonts w:ascii="Times New Roman" w:hAnsi="Times New Roman"/>
              </w:rPr>
              <w:t>Z uwagi na zakres</w:t>
            </w:r>
            <w:r w:rsidR="003E3B81" w:rsidRPr="0050413F">
              <w:rPr>
                <w:rFonts w:ascii="Times New Roman" w:hAnsi="Times New Roman"/>
              </w:rPr>
              <w:t xml:space="preserve"> przedmiotowy</w:t>
            </w:r>
            <w:r w:rsidRPr="0050413F">
              <w:rPr>
                <w:rFonts w:ascii="Times New Roman" w:hAnsi="Times New Roman"/>
              </w:rPr>
              <w:t xml:space="preserve"> projektu, który nie dotyczy praw i interesów oraz zadań związków zawodowych projekt nie podlega opiniowaniu przez reprezentatywne organizacje związków zawodowych na zasadach przewidzianych w przepisach odrębnych. </w:t>
            </w:r>
          </w:p>
          <w:p w14:paraId="76387A27" w14:textId="102EFA43" w:rsidR="0050413F" w:rsidRPr="0050413F" w:rsidRDefault="0050413F" w:rsidP="0050413F">
            <w:pPr>
              <w:spacing w:line="240" w:lineRule="auto"/>
              <w:jc w:val="both"/>
              <w:rPr>
                <w:rFonts w:ascii="Times New Roman" w:hAnsi="Times New Roman"/>
                <w:spacing w:val="-2"/>
              </w:rPr>
            </w:pPr>
            <w:r w:rsidRPr="0050413F">
              <w:rPr>
                <w:rFonts w:ascii="Times New Roman" w:hAnsi="Times New Roman"/>
                <w:spacing w:val="-2"/>
              </w:rPr>
              <w:t>Z uwagi fakt, że proponowane zmiany dotyczą kwestii dotyczących jednostek samorządu terytorialnego projekt zosta</w:t>
            </w:r>
            <w:r w:rsidR="002676C8">
              <w:rPr>
                <w:rFonts w:ascii="Times New Roman" w:hAnsi="Times New Roman"/>
                <w:spacing w:val="-2"/>
              </w:rPr>
              <w:t>ł</w:t>
            </w:r>
            <w:r w:rsidRPr="0050413F">
              <w:rPr>
                <w:rFonts w:ascii="Times New Roman" w:hAnsi="Times New Roman"/>
                <w:spacing w:val="-2"/>
              </w:rPr>
              <w:t xml:space="preserve"> przekazany do rozpatrzenia przez Komisję Wspólną Rządu i Samorządu Terytorialnego. </w:t>
            </w:r>
            <w:r w:rsidR="002676C8">
              <w:rPr>
                <w:rFonts w:ascii="Times New Roman" w:hAnsi="Times New Roman"/>
                <w:spacing w:val="-2"/>
              </w:rPr>
              <w:t>Z uwagi na wniosek KWRiST, aby został jej przedłożony projekt uzgodniony na późniejszym etapie, projekt zostanie skierowany ponownie do KWRiST przed skierowaniem do rozpatrzenia przez Stały Komitet Rady Ministrów.</w:t>
            </w:r>
          </w:p>
          <w:p w14:paraId="1773C484" w14:textId="77777777" w:rsidR="00CB5261" w:rsidRPr="0050413F" w:rsidRDefault="00CB5261" w:rsidP="0050413F">
            <w:pPr>
              <w:spacing w:line="240" w:lineRule="auto"/>
              <w:jc w:val="both"/>
              <w:rPr>
                <w:rFonts w:ascii="Times New Roman" w:hAnsi="Times New Roman"/>
                <w:spacing w:val="-2"/>
              </w:rPr>
            </w:pPr>
            <w:r w:rsidRPr="0050413F">
              <w:rPr>
                <w:rFonts w:ascii="Times New Roman" w:hAnsi="Times New Roman"/>
                <w:spacing w:val="-2"/>
              </w:rPr>
              <w:t>Projekt nie dotyczy spraw, o których mowa w art. 1 ustawy z dnia 24 lipca 2015 r. o Radzie Dialogu Społecznego i innych instytucjach dialogu społecznego (Dz. U. z 2018 r. poz. 2232), dlatego nie podlega opiniowaniu przez Radę Dialogu Społecznego.</w:t>
            </w:r>
          </w:p>
          <w:p w14:paraId="2A4C6DFA" w14:textId="6FB3257F" w:rsidR="0085383F" w:rsidRPr="0050413F" w:rsidRDefault="00CB5261" w:rsidP="0050413F">
            <w:pPr>
              <w:spacing w:line="240" w:lineRule="auto"/>
              <w:jc w:val="both"/>
              <w:rPr>
                <w:rFonts w:ascii="Times New Roman" w:hAnsi="Times New Roman"/>
                <w:spacing w:val="-2"/>
              </w:rPr>
            </w:pPr>
            <w:r w:rsidRPr="0050413F">
              <w:rPr>
                <w:rFonts w:ascii="Times New Roman" w:hAnsi="Times New Roman"/>
                <w:spacing w:val="-2"/>
              </w:rPr>
              <w:t>Wyniki przeprowadzonych konsultacji publicznych zostaną zamieszczone w Biuletynie Informacji Publicznej, na stronie podmiotowej Rządowego Centrum Legislacji, w serwisie Rządowy Proces Legislacyjny.</w:t>
            </w:r>
          </w:p>
        </w:tc>
      </w:tr>
      <w:tr w:rsidR="002E5FFA" w:rsidRPr="0050413F" w14:paraId="19126829" w14:textId="77777777" w:rsidTr="00676C8D">
        <w:trPr>
          <w:gridAfter w:val="1"/>
          <w:wAfter w:w="10" w:type="dxa"/>
          <w:trHeight w:val="363"/>
        </w:trPr>
        <w:tc>
          <w:tcPr>
            <w:tcW w:w="10937" w:type="dxa"/>
            <w:gridSpan w:val="29"/>
            <w:shd w:val="clear" w:color="auto" w:fill="99CCFF"/>
            <w:vAlign w:val="center"/>
          </w:tcPr>
          <w:p w14:paraId="694F0F7F" w14:textId="77777777" w:rsidR="002E5FFA" w:rsidRPr="0050413F" w:rsidRDefault="002E5FFA" w:rsidP="0050413F">
            <w:pPr>
              <w:numPr>
                <w:ilvl w:val="0"/>
                <w:numId w:val="3"/>
              </w:numPr>
              <w:spacing w:line="240" w:lineRule="auto"/>
              <w:ind w:left="318" w:hanging="284"/>
              <w:jc w:val="both"/>
              <w:rPr>
                <w:rFonts w:ascii="Times New Roman" w:hAnsi="Times New Roman"/>
                <w:b/>
                <w:color w:val="000000"/>
              </w:rPr>
            </w:pPr>
            <w:r w:rsidRPr="0050413F">
              <w:rPr>
                <w:rFonts w:ascii="Times New Roman" w:hAnsi="Times New Roman"/>
                <w:b/>
                <w:color w:val="000000"/>
              </w:rPr>
              <w:lastRenderedPageBreak/>
              <w:t xml:space="preserve"> Wpływ na sektor finansów publicznych</w:t>
            </w:r>
          </w:p>
        </w:tc>
      </w:tr>
      <w:tr w:rsidR="002E5FFA" w:rsidRPr="0050413F" w14:paraId="344A6878" w14:textId="77777777" w:rsidTr="00676C8D">
        <w:trPr>
          <w:gridAfter w:val="1"/>
          <w:wAfter w:w="10" w:type="dxa"/>
          <w:trHeight w:val="142"/>
        </w:trPr>
        <w:tc>
          <w:tcPr>
            <w:tcW w:w="3133" w:type="dxa"/>
            <w:gridSpan w:val="3"/>
            <w:vMerge w:val="restart"/>
            <w:shd w:val="clear" w:color="auto" w:fill="FFFFFF"/>
          </w:tcPr>
          <w:p w14:paraId="7232AB62" w14:textId="77777777" w:rsidR="002E5FFA" w:rsidRPr="0050413F" w:rsidRDefault="002E5FFA" w:rsidP="0050413F">
            <w:pPr>
              <w:spacing w:line="240" w:lineRule="auto"/>
              <w:rPr>
                <w:rFonts w:ascii="Times New Roman" w:hAnsi="Times New Roman"/>
                <w:i/>
                <w:color w:val="000000"/>
              </w:rPr>
            </w:pPr>
            <w:r w:rsidRPr="0050413F">
              <w:rPr>
                <w:rFonts w:ascii="Times New Roman" w:hAnsi="Times New Roman"/>
                <w:color w:val="000000"/>
              </w:rPr>
              <w:t>(ceny stałe z …… r.)</w:t>
            </w:r>
          </w:p>
        </w:tc>
        <w:tc>
          <w:tcPr>
            <w:tcW w:w="7804" w:type="dxa"/>
            <w:gridSpan w:val="26"/>
            <w:shd w:val="clear" w:color="auto" w:fill="FFFFFF"/>
          </w:tcPr>
          <w:p w14:paraId="1CE5BB2D" w14:textId="77777777" w:rsidR="002E5FFA" w:rsidRPr="0050413F" w:rsidRDefault="002E5FFA" w:rsidP="0050413F">
            <w:pPr>
              <w:spacing w:line="240" w:lineRule="auto"/>
              <w:jc w:val="center"/>
              <w:rPr>
                <w:rFonts w:ascii="Times New Roman" w:hAnsi="Times New Roman"/>
                <w:i/>
                <w:color w:val="000000"/>
                <w:spacing w:val="-2"/>
              </w:rPr>
            </w:pPr>
            <w:r w:rsidRPr="0050413F">
              <w:rPr>
                <w:rFonts w:ascii="Times New Roman" w:hAnsi="Times New Roman"/>
                <w:color w:val="000000"/>
              </w:rPr>
              <w:t>Skutki w okresie 10 lat od wejścia w życie zmian [mln zł]</w:t>
            </w:r>
          </w:p>
        </w:tc>
      </w:tr>
      <w:tr w:rsidR="002E5FFA" w:rsidRPr="0050413F" w14:paraId="32FD1F75" w14:textId="77777777" w:rsidTr="00676C8D">
        <w:trPr>
          <w:gridAfter w:val="1"/>
          <w:wAfter w:w="10" w:type="dxa"/>
          <w:trHeight w:val="142"/>
        </w:trPr>
        <w:tc>
          <w:tcPr>
            <w:tcW w:w="3133" w:type="dxa"/>
            <w:gridSpan w:val="3"/>
            <w:vMerge/>
            <w:shd w:val="clear" w:color="auto" w:fill="FFFFFF"/>
          </w:tcPr>
          <w:p w14:paraId="25968323" w14:textId="77777777" w:rsidR="002E5FFA" w:rsidRPr="0050413F" w:rsidRDefault="002E5FFA" w:rsidP="0050413F">
            <w:pPr>
              <w:spacing w:line="240" w:lineRule="auto"/>
              <w:rPr>
                <w:rFonts w:ascii="Times New Roman" w:hAnsi="Times New Roman"/>
                <w:i/>
                <w:color w:val="000000"/>
              </w:rPr>
            </w:pPr>
          </w:p>
        </w:tc>
        <w:tc>
          <w:tcPr>
            <w:tcW w:w="569" w:type="dxa"/>
            <w:gridSpan w:val="3"/>
            <w:shd w:val="clear" w:color="auto" w:fill="FFFFFF"/>
          </w:tcPr>
          <w:p w14:paraId="1A318A64"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0</w:t>
            </w:r>
          </w:p>
        </w:tc>
        <w:tc>
          <w:tcPr>
            <w:tcW w:w="570" w:type="dxa"/>
            <w:gridSpan w:val="2"/>
            <w:shd w:val="clear" w:color="auto" w:fill="FFFFFF"/>
          </w:tcPr>
          <w:p w14:paraId="7996EC66"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1</w:t>
            </w:r>
          </w:p>
        </w:tc>
        <w:tc>
          <w:tcPr>
            <w:tcW w:w="570" w:type="dxa"/>
            <w:gridSpan w:val="3"/>
            <w:shd w:val="clear" w:color="auto" w:fill="FFFFFF"/>
          </w:tcPr>
          <w:p w14:paraId="2DF80F99"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2</w:t>
            </w:r>
          </w:p>
        </w:tc>
        <w:tc>
          <w:tcPr>
            <w:tcW w:w="569" w:type="dxa"/>
            <w:gridSpan w:val="2"/>
            <w:shd w:val="clear" w:color="auto" w:fill="FFFFFF"/>
          </w:tcPr>
          <w:p w14:paraId="207B34E1"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3</w:t>
            </w:r>
          </w:p>
        </w:tc>
        <w:tc>
          <w:tcPr>
            <w:tcW w:w="570" w:type="dxa"/>
            <w:gridSpan w:val="2"/>
            <w:shd w:val="clear" w:color="auto" w:fill="FFFFFF"/>
          </w:tcPr>
          <w:p w14:paraId="31A85C7A"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4</w:t>
            </w:r>
          </w:p>
        </w:tc>
        <w:tc>
          <w:tcPr>
            <w:tcW w:w="570" w:type="dxa"/>
            <w:shd w:val="clear" w:color="auto" w:fill="FFFFFF"/>
          </w:tcPr>
          <w:p w14:paraId="22F08BC4"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5</w:t>
            </w:r>
          </w:p>
        </w:tc>
        <w:tc>
          <w:tcPr>
            <w:tcW w:w="570" w:type="dxa"/>
            <w:gridSpan w:val="4"/>
            <w:shd w:val="clear" w:color="auto" w:fill="FFFFFF"/>
          </w:tcPr>
          <w:p w14:paraId="012E90B5"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6</w:t>
            </w:r>
          </w:p>
        </w:tc>
        <w:tc>
          <w:tcPr>
            <w:tcW w:w="569" w:type="dxa"/>
            <w:gridSpan w:val="3"/>
            <w:shd w:val="clear" w:color="auto" w:fill="FFFFFF"/>
          </w:tcPr>
          <w:p w14:paraId="72723390"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7</w:t>
            </w:r>
          </w:p>
        </w:tc>
        <w:tc>
          <w:tcPr>
            <w:tcW w:w="570" w:type="dxa"/>
            <w:shd w:val="clear" w:color="auto" w:fill="FFFFFF"/>
          </w:tcPr>
          <w:p w14:paraId="223103EA"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8</w:t>
            </w:r>
          </w:p>
        </w:tc>
        <w:tc>
          <w:tcPr>
            <w:tcW w:w="570" w:type="dxa"/>
            <w:gridSpan w:val="2"/>
            <w:shd w:val="clear" w:color="auto" w:fill="FFFFFF"/>
          </w:tcPr>
          <w:p w14:paraId="4D6FFCE7"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9</w:t>
            </w:r>
          </w:p>
        </w:tc>
        <w:tc>
          <w:tcPr>
            <w:tcW w:w="570" w:type="dxa"/>
            <w:shd w:val="clear" w:color="auto" w:fill="FFFFFF"/>
          </w:tcPr>
          <w:p w14:paraId="5C45FC0A"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10</w:t>
            </w:r>
          </w:p>
        </w:tc>
        <w:tc>
          <w:tcPr>
            <w:tcW w:w="1537" w:type="dxa"/>
            <w:gridSpan w:val="2"/>
            <w:shd w:val="clear" w:color="auto" w:fill="FFFFFF"/>
          </w:tcPr>
          <w:p w14:paraId="03E2E879" w14:textId="77777777" w:rsidR="002E5FFA" w:rsidRPr="0050413F" w:rsidRDefault="002E5FFA" w:rsidP="0050413F">
            <w:pPr>
              <w:spacing w:line="240" w:lineRule="auto"/>
              <w:jc w:val="center"/>
              <w:rPr>
                <w:rFonts w:ascii="Times New Roman" w:hAnsi="Times New Roman"/>
                <w:i/>
                <w:color w:val="000000"/>
                <w:spacing w:val="-2"/>
              </w:rPr>
            </w:pPr>
            <w:r w:rsidRPr="0050413F">
              <w:rPr>
                <w:rFonts w:ascii="Times New Roman" w:hAnsi="Times New Roman"/>
                <w:i/>
                <w:color w:val="000000"/>
                <w:spacing w:val="-2"/>
              </w:rPr>
              <w:t>Łącznie (0-10)</w:t>
            </w:r>
          </w:p>
        </w:tc>
      </w:tr>
      <w:tr w:rsidR="00557930" w:rsidRPr="0050413F" w14:paraId="55297291" w14:textId="77777777" w:rsidTr="0066729B">
        <w:trPr>
          <w:trHeight w:val="321"/>
        </w:trPr>
        <w:tc>
          <w:tcPr>
            <w:tcW w:w="3133" w:type="dxa"/>
            <w:gridSpan w:val="3"/>
            <w:shd w:val="clear" w:color="auto" w:fill="FFFFFF"/>
            <w:vAlign w:val="center"/>
          </w:tcPr>
          <w:p w14:paraId="33AC9981" w14:textId="77777777" w:rsidR="00557930" w:rsidRPr="0050413F" w:rsidRDefault="00557930" w:rsidP="00557930">
            <w:pPr>
              <w:spacing w:line="240" w:lineRule="auto"/>
              <w:rPr>
                <w:rFonts w:ascii="Times New Roman" w:hAnsi="Times New Roman"/>
                <w:color w:val="000000"/>
              </w:rPr>
            </w:pPr>
            <w:r w:rsidRPr="0050413F">
              <w:rPr>
                <w:rFonts w:ascii="Times New Roman" w:hAnsi="Times New Roman"/>
                <w:b/>
                <w:color w:val="000000"/>
              </w:rPr>
              <w:lastRenderedPageBreak/>
              <w:t>Dochody ogółem</w:t>
            </w:r>
          </w:p>
        </w:tc>
        <w:tc>
          <w:tcPr>
            <w:tcW w:w="569" w:type="dxa"/>
            <w:gridSpan w:val="3"/>
            <w:shd w:val="clear" w:color="auto" w:fill="FFFFFF"/>
            <w:vAlign w:val="center"/>
          </w:tcPr>
          <w:p w14:paraId="7F89C712" w14:textId="582C7628" w:rsidR="00557930" w:rsidRPr="0066729B" w:rsidRDefault="00557930" w:rsidP="0066729B">
            <w:pPr>
              <w:spacing w:line="240" w:lineRule="auto"/>
              <w:ind w:left="-272" w:firstLine="141"/>
              <w:jc w:val="right"/>
              <w:rPr>
                <w:b/>
                <w:bCs/>
                <w:sz w:val="20"/>
                <w:szCs w:val="20"/>
              </w:rPr>
            </w:pPr>
            <w:r w:rsidRPr="0066729B">
              <w:rPr>
                <w:b/>
                <w:bCs/>
                <w:sz w:val="20"/>
                <w:szCs w:val="20"/>
              </w:rPr>
              <w:t>0,2</w:t>
            </w:r>
          </w:p>
        </w:tc>
        <w:tc>
          <w:tcPr>
            <w:tcW w:w="570" w:type="dxa"/>
            <w:gridSpan w:val="2"/>
            <w:shd w:val="clear" w:color="auto" w:fill="FFFFFF"/>
            <w:vAlign w:val="center"/>
          </w:tcPr>
          <w:p w14:paraId="63A6FC3E" w14:textId="3CBDC6EE" w:rsidR="00557930" w:rsidRPr="0066729B" w:rsidRDefault="00557930" w:rsidP="0066729B">
            <w:pPr>
              <w:spacing w:line="240" w:lineRule="auto"/>
              <w:ind w:left="-272" w:firstLine="141"/>
              <w:jc w:val="right"/>
              <w:rPr>
                <w:b/>
                <w:bCs/>
                <w:sz w:val="20"/>
                <w:szCs w:val="20"/>
              </w:rPr>
            </w:pPr>
            <w:r w:rsidRPr="0066729B">
              <w:rPr>
                <w:b/>
                <w:bCs/>
                <w:sz w:val="20"/>
                <w:szCs w:val="20"/>
              </w:rPr>
              <w:t>0,4</w:t>
            </w:r>
          </w:p>
        </w:tc>
        <w:tc>
          <w:tcPr>
            <w:tcW w:w="570" w:type="dxa"/>
            <w:gridSpan w:val="3"/>
            <w:shd w:val="clear" w:color="auto" w:fill="FFFFFF"/>
            <w:vAlign w:val="center"/>
          </w:tcPr>
          <w:p w14:paraId="1827B65C" w14:textId="57856F9A" w:rsidR="00557930" w:rsidRPr="0066729B" w:rsidRDefault="00557930" w:rsidP="0066729B">
            <w:pPr>
              <w:spacing w:line="240" w:lineRule="auto"/>
              <w:ind w:left="-272" w:firstLine="141"/>
              <w:jc w:val="right"/>
              <w:rPr>
                <w:b/>
                <w:bCs/>
                <w:sz w:val="20"/>
                <w:szCs w:val="20"/>
              </w:rPr>
            </w:pPr>
            <w:r w:rsidRPr="0066729B">
              <w:rPr>
                <w:b/>
                <w:bCs/>
                <w:sz w:val="20"/>
                <w:szCs w:val="20"/>
              </w:rPr>
              <w:t>0,5</w:t>
            </w:r>
          </w:p>
        </w:tc>
        <w:tc>
          <w:tcPr>
            <w:tcW w:w="569" w:type="dxa"/>
            <w:gridSpan w:val="2"/>
            <w:shd w:val="clear" w:color="auto" w:fill="FFFFFF"/>
            <w:vAlign w:val="center"/>
          </w:tcPr>
          <w:p w14:paraId="468BA71C" w14:textId="35174A4D" w:rsidR="00557930" w:rsidRPr="0066729B" w:rsidRDefault="00557930" w:rsidP="0066729B">
            <w:pPr>
              <w:spacing w:line="240" w:lineRule="auto"/>
              <w:ind w:left="-272" w:firstLine="141"/>
              <w:jc w:val="right"/>
              <w:rPr>
                <w:b/>
                <w:bCs/>
                <w:sz w:val="20"/>
                <w:szCs w:val="20"/>
              </w:rPr>
            </w:pPr>
            <w:r w:rsidRPr="0066729B">
              <w:rPr>
                <w:b/>
                <w:bCs/>
                <w:sz w:val="20"/>
                <w:szCs w:val="20"/>
              </w:rPr>
              <w:t>0,6</w:t>
            </w:r>
          </w:p>
        </w:tc>
        <w:tc>
          <w:tcPr>
            <w:tcW w:w="570" w:type="dxa"/>
            <w:gridSpan w:val="2"/>
            <w:shd w:val="clear" w:color="auto" w:fill="FFFFFF"/>
            <w:vAlign w:val="center"/>
          </w:tcPr>
          <w:p w14:paraId="7696C625" w14:textId="598A4044" w:rsidR="00557930" w:rsidRPr="0066729B" w:rsidRDefault="00557930" w:rsidP="0066729B">
            <w:pPr>
              <w:spacing w:line="240" w:lineRule="auto"/>
              <w:ind w:left="-272" w:firstLine="141"/>
              <w:jc w:val="right"/>
              <w:rPr>
                <w:rFonts w:ascii="Times New Roman" w:hAnsi="Times New Roman"/>
                <w:b/>
                <w:bCs/>
                <w:sz w:val="20"/>
                <w:szCs w:val="20"/>
              </w:rPr>
            </w:pPr>
            <w:r w:rsidRPr="0066729B">
              <w:rPr>
                <w:b/>
                <w:bCs/>
                <w:sz w:val="20"/>
                <w:szCs w:val="20"/>
              </w:rPr>
              <w:t>-2</w:t>
            </w:r>
          </w:p>
        </w:tc>
        <w:tc>
          <w:tcPr>
            <w:tcW w:w="570" w:type="dxa"/>
            <w:shd w:val="clear" w:color="auto" w:fill="FFFFFF"/>
            <w:vAlign w:val="center"/>
          </w:tcPr>
          <w:p w14:paraId="113C65A4" w14:textId="0AFA99A7" w:rsidR="00557930" w:rsidRPr="004F5A9D" w:rsidRDefault="00557930" w:rsidP="0066729B">
            <w:pPr>
              <w:spacing w:line="240" w:lineRule="auto"/>
              <w:ind w:left="-272" w:firstLine="141"/>
              <w:jc w:val="right"/>
              <w:rPr>
                <w:rFonts w:ascii="Times New Roman" w:hAnsi="Times New Roman"/>
                <w:b/>
                <w:bCs/>
                <w:sz w:val="20"/>
                <w:szCs w:val="20"/>
              </w:rPr>
            </w:pPr>
            <w:r w:rsidRPr="004F5A9D">
              <w:rPr>
                <w:b/>
                <w:bCs/>
                <w:sz w:val="20"/>
                <w:szCs w:val="20"/>
              </w:rPr>
              <w:t>657</w:t>
            </w:r>
          </w:p>
        </w:tc>
        <w:tc>
          <w:tcPr>
            <w:tcW w:w="570" w:type="dxa"/>
            <w:gridSpan w:val="4"/>
            <w:shd w:val="clear" w:color="auto" w:fill="FFFFFF"/>
            <w:vAlign w:val="center"/>
          </w:tcPr>
          <w:p w14:paraId="55140324" w14:textId="4AE5640C" w:rsidR="00557930" w:rsidRPr="004F5A9D" w:rsidRDefault="00557930" w:rsidP="0066729B">
            <w:pPr>
              <w:spacing w:line="240" w:lineRule="auto"/>
              <w:ind w:left="-272" w:firstLine="141"/>
              <w:jc w:val="right"/>
              <w:rPr>
                <w:rFonts w:ascii="Times New Roman" w:hAnsi="Times New Roman"/>
                <w:b/>
                <w:bCs/>
                <w:sz w:val="20"/>
                <w:szCs w:val="20"/>
              </w:rPr>
            </w:pPr>
            <w:r w:rsidRPr="004F5A9D">
              <w:rPr>
                <w:b/>
                <w:bCs/>
                <w:sz w:val="20"/>
                <w:szCs w:val="20"/>
              </w:rPr>
              <w:t>1 317</w:t>
            </w:r>
          </w:p>
        </w:tc>
        <w:tc>
          <w:tcPr>
            <w:tcW w:w="569" w:type="dxa"/>
            <w:gridSpan w:val="3"/>
            <w:shd w:val="clear" w:color="auto" w:fill="FFFFFF"/>
            <w:vAlign w:val="center"/>
          </w:tcPr>
          <w:p w14:paraId="7BC96F9D" w14:textId="5D3C0C08" w:rsidR="00557930" w:rsidRPr="004F5A9D" w:rsidRDefault="00557930" w:rsidP="0066729B">
            <w:pPr>
              <w:spacing w:line="240" w:lineRule="auto"/>
              <w:ind w:left="-272" w:firstLine="141"/>
              <w:jc w:val="right"/>
              <w:rPr>
                <w:rFonts w:ascii="Times New Roman" w:hAnsi="Times New Roman"/>
                <w:b/>
                <w:bCs/>
                <w:sz w:val="20"/>
                <w:szCs w:val="20"/>
              </w:rPr>
            </w:pPr>
            <w:r w:rsidRPr="004F5A9D">
              <w:rPr>
                <w:b/>
                <w:bCs/>
                <w:sz w:val="20"/>
                <w:szCs w:val="20"/>
              </w:rPr>
              <w:t>1 976</w:t>
            </w:r>
          </w:p>
        </w:tc>
        <w:tc>
          <w:tcPr>
            <w:tcW w:w="570" w:type="dxa"/>
            <w:shd w:val="clear" w:color="auto" w:fill="FFFFFF"/>
            <w:vAlign w:val="center"/>
          </w:tcPr>
          <w:p w14:paraId="79CBDDAE" w14:textId="63A6696B" w:rsidR="00557930" w:rsidRPr="004F5A9D" w:rsidRDefault="00557930" w:rsidP="0066729B">
            <w:pPr>
              <w:spacing w:line="240" w:lineRule="auto"/>
              <w:ind w:left="-272" w:firstLine="141"/>
              <w:jc w:val="right"/>
              <w:rPr>
                <w:rFonts w:ascii="Times New Roman" w:hAnsi="Times New Roman"/>
                <w:b/>
                <w:bCs/>
                <w:sz w:val="20"/>
                <w:szCs w:val="20"/>
              </w:rPr>
            </w:pPr>
            <w:r w:rsidRPr="004F5A9D">
              <w:rPr>
                <w:b/>
                <w:bCs/>
                <w:sz w:val="20"/>
                <w:szCs w:val="20"/>
              </w:rPr>
              <w:t>2 636</w:t>
            </w:r>
          </w:p>
        </w:tc>
        <w:tc>
          <w:tcPr>
            <w:tcW w:w="570" w:type="dxa"/>
            <w:gridSpan w:val="2"/>
            <w:shd w:val="clear" w:color="auto" w:fill="FFFFFF"/>
            <w:vAlign w:val="center"/>
          </w:tcPr>
          <w:p w14:paraId="1D0461F6" w14:textId="022717E6" w:rsidR="00557930" w:rsidRPr="004F5A9D" w:rsidRDefault="00557930" w:rsidP="0066729B">
            <w:pPr>
              <w:spacing w:line="240" w:lineRule="auto"/>
              <w:ind w:left="-272" w:firstLine="141"/>
              <w:jc w:val="right"/>
              <w:rPr>
                <w:rFonts w:ascii="Times New Roman" w:hAnsi="Times New Roman"/>
                <w:b/>
                <w:bCs/>
                <w:sz w:val="20"/>
                <w:szCs w:val="20"/>
              </w:rPr>
            </w:pPr>
            <w:r w:rsidRPr="004F5A9D">
              <w:rPr>
                <w:b/>
                <w:bCs/>
                <w:sz w:val="20"/>
                <w:szCs w:val="20"/>
              </w:rPr>
              <w:t>3 297</w:t>
            </w:r>
          </w:p>
        </w:tc>
        <w:tc>
          <w:tcPr>
            <w:tcW w:w="570" w:type="dxa"/>
            <w:shd w:val="clear" w:color="auto" w:fill="FFFFFF"/>
            <w:vAlign w:val="center"/>
          </w:tcPr>
          <w:p w14:paraId="4C2ED6AF" w14:textId="30CC86DB" w:rsidR="00557930" w:rsidRPr="004F5A9D" w:rsidRDefault="00557930" w:rsidP="0066729B">
            <w:pPr>
              <w:spacing w:line="240" w:lineRule="auto"/>
              <w:ind w:left="-272" w:firstLine="141"/>
              <w:jc w:val="right"/>
              <w:rPr>
                <w:rFonts w:ascii="Times New Roman" w:hAnsi="Times New Roman"/>
                <w:b/>
                <w:bCs/>
                <w:sz w:val="20"/>
                <w:szCs w:val="20"/>
              </w:rPr>
            </w:pPr>
            <w:r w:rsidRPr="004F5A9D">
              <w:rPr>
                <w:b/>
                <w:bCs/>
                <w:sz w:val="20"/>
                <w:szCs w:val="20"/>
              </w:rPr>
              <w:t>3 297</w:t>
            </w:r>
          </w:p>
        </w:tc>
        <w:tc>
          <w:tcPr>
            <w:tcW w:w="1547" w:type="dxa"/>
            <w:gridSpan w:val="3"/>
            <w:shd w:val="clear" w:color="auto" w:fill="FFFFFF"/>
            <w:vAlign w:val="center"/>
          </w:tcPr>
          <w:p w14:paraId="3BEED9E1" w14:textId="315E5129" w:rsidR="00557930" w:rsidRPr="004F5A9D" w:rsidRDefault="00557930" w:rsidP="0066729B">
            <w:pPr>
              <w:spacing w:line="240" w:lineRule="auto"/>
              <w:ind w:left="-272" w:firstLine="141"/>
              <w:jc w:val="right"/>
              <w:rPr>
                <w:rFonts w:ascii="Times New Roman" w:hAnsi="Times New Roman"/>
                <w:b/>
                <w:bCs/>
                <w:sz w:val="20"/>
                <w:szCs w:val="20"/>
              </w:rPr>
            </w:pPr>
            <w:r w:rsidRPr="004F5A9D">
              <w:rPr>
                <w:b/>
                <w:bCs/>
                <w:sz w:val="20"/>
                <w:szCs w:val="20"/>
              </w:rPr>
              <w:t>13 180</w:t>
            </w:r>
          </w:p>
        </w:tc>
      </w:tr>
      <w:tr w:rsidR="003349BF" w:rsidRPr="0050413F" w14:paraId="065E23FE" w14:textId="77777777" w:rsidTr="0066729B">
        <w:trPr>
          <w:trHeight w:val="321"/>
        </w:trPr>
        <w:tc>
          <w:tcPr>
            <w:tcW w:w="3133" w:type="dxa"/>
            <w:gridSpan w:val="3"/>
            <w:shd w:val="clear" w:color="auto" w:fill="FFFFFF"/>
            <w:vAlign w:val="center"/>
          </w:tcPr>
          <w:p w14:paraId="321CF8BF" w14:textId="77777777" w:rsidR="003349BF" w:rsidRPr="0050413F" w:rsidRDefault="003349BF" w:rsidP="003349BF">
            <w:pPr>
              <w:spacing w:line="240" w:lineRule="auto"/>
              <w:rPr>
                <w:rFonts w:ascii="Times New Roman" w:hAnsi="Times New Roman"/>
                <w:color w:val="000000"/>
              </w:rPr>
            </w:pPr>
            <w:r w:rsidRPr="0050413F">
              <w:rPr>
                <w:rFonts w:ascii="Times New Roman" w:hAnsi="Times New Roman"/>
                <w:color w:val="000000"/>
              </w:rPr>
              <w:t>budżet państwa</w:t>
            </w:r>
          </w:p>
        </w:tc>
        <w:tc>
          <w:tcPr>
            <w:tcW w:w="569" w:type="dxa"/>
            <w:gridSpan w:val="3"/>
            <w:shd w:val="clear" w:color="auto" w:fill="FFFFFF"/>
            <w:vAlign w:val="center"/>
          </w:tcPr>
          <w:p w14:paraId="1C7F8996" w14:textId="0A5C54F5" w:rsidR="003349BF" w:rsidRPr="004F5A9D" w:rsidRDefault="003349BF" w:rsidP="0066729B">
            <w:pPr>
              <w:spacing w:line="240" w:lineRule="auto"/>
              <w:ind w:left="-272" w:firstLine="141"/>
              <w:jc w:val="right"/>
              <w:rPr>
                <w:rFonts w:ascii="Times New Roman" w:hAnsi="Times New Roman"/>
                <w:sz w:val="20"/>
                <w:szCs w:val="20"/>
              </w:rPr>
            </w:pPr>
          </w:p>
        </w:tc>
        <w:tc>
          <w:tcPr>
            <w:tcW w:w="570" w:type="dxa"/>
            <w:gridSpan w:val="2"/>
            <w:shd w:val="clear" w:color="auto" w:fill="FFFFFF"/>
            <w:vAlign w:val="center"/>
          </w:tcPr>
          <w:p w14:paraId="63CDFCEE" w14:textId="13340449" w:rsidR="003349BF" w:rsidRPr="004F5A9D" w:rsidRDefault="003349BF" w:rsidP="0066729B">
            <w:pPr>
              <w:spacing w:line="240" w:lineRule="auto"/>
              <w:ind w:left="-272" w:firstLine="141"/>
              <w:jc w:val="right"/>
              <w:rPr>
                <w:rFonts w:ascii="Times New Roman" w:hAnsi="Times New Roman"/>
                <w:sz w:val="20"/>
                <w:szCs w:val="20"/>
              </w:rPr>
            </w:pPr>
          </w:p>
        </w:tc>
        <w:tc>
          <w:tcPr>
            <w:tcW w:w="570" w:type="dxa"/>
            <w:gridSpan w:val="3"/>
            <w:shd w:val="clear" w:color="auto" w:fill="FFFFFF"/>
            <w:vAlign w:val="center"/>
          </w:tcPr>
          <w:p w14:paraId="706D3490" w14:textId="4D9530B9" w:rsidR="003349BF" w:rsidRPr="004F5A9D" w:rsidRDefault="003349BF" w:rsidP="0066729B">
            <w:pPr>
              <w:spacing w:line="240" w:lineRule="auto"/>
              <w:ind w:left="-272" w:firstLine="141"/>
              <w:jc w:val="right"/>
              <w:rPr>
                <w:rFonts w:ascii="Times New Roman" w:hAnsi="Times New Roman"/>
                <w:sz w:val="20"/>
                <w:szCs w:val="20"/>
              </w:rPr>
            </w:pPr>
          </w:p>
        </w:tc>
        <w:tc>
          <w:tcPr>
            <w:tcW w:w="569" w:type="dxa"/>
            <w:gridSpan w:val="2"/>
            <w:shd w:val="clear" w:color="auto" w:fill="FFFFFF"/>
            <w:vAlign w:val="center"/>
          </w:tcPr>
          <w:p w14:paraId="28866D0D" w14:textId="6F7AF8A1" w:rsidR="003349BF" w:rsidRPr="004F5A9D" w:rsidRDefault="003349BF" w:rsidP="0066729B">
            <w:pPr>
              <w:spacing w:line="240" w:lineRule="auto"/>
              <w:ind w:left="-272" w:firstLine="141"/>
              <w:jc w:val="right"/>
              <w:rPr>
                <w:rFonts w:ascii="Times New Roman" w:hAnsi="Times New Roman"/>
                <w:sz w:val="20"/>
                <w:szCs w:val="20"/>
              </w:rPr>
            </w:pPr>
          </w:p>
        </w:tc>
        <w:tc>
          <w:tcPr>
            <w:tcW w:w="570" w:type="dxa"/>
            <w:gridSpan w:val="2"/>
            <w:shd w:val="clear" w:color="auto" w:fill="FFFFFF"/>
            <w:vAlign w:val="center"/>
          </w:tcPr>
          <w:p w14:paraId="48126590" w14:textId="5BA12702" w:rsidR="003349BF" w:rsidRPr="004F5A9D" w:rsidRDefault="003349BF" w:rsidP="0066729B">
            <w:pPr>
              <w:spacing w:line="240" w:lineRule="auto"/>
              <w:ind w:left="-272" w:firstLine="141"/>
              <w:jc w:val="right"/>
              <w:rPr>
                <w:rFonts w:ascii="Times New Roman" w:hAnsi="Times New Roman"/>
                <w:sz w:val="20"/>
                <w:szCs w:val="20"/>
              </w:rPr>
            </w:pPr>
            <w:r w:rsidRPr="004F5A9D">
              <w:rPr>
                <w:sz w:val="20"/>
                <w:szCs w:val="20"/>
              </w:rPr>
              <w:t>-2</w:t>
            </w:r>
          </w:p>
        </w:tc>
        <w:tc>
          <w:tcPr>
            <w:tcW w:w="570" w:type="dxa"/>
            <w:shd w:val="clear" w:color="auto" w:fill="FFFFFF"/>
            <w:vAlign w:val="center"/>
          </w:tcPr>
          <w:p w14:paraId="04CF16FD" w14:textId="50624E91" w:rsidR="003349BF" w:rsidRPr="004F5A9D" w:rsidRDefault="003349BF" w:rsidP="0066729B">
            <w:pPr>
              <w:spacing w:line="240" w:lineRule="auto"/>
              <w:ind w:left="-272" w:firstLine="141"/>
              <w:jc w:val="right"/>
              <w:rPr>
                <w:rFonts w:ascii="Times New Roman" w:hAnsi="Times New Roman"/>
                <w:sz w:val="20"/>
                <w:szCs w:val="20"/>
              </w:rPr>
            </w:pPr>
            <w:r w:rsidRPr="004F5A9D">
              <w:rPr>
                <w:sz w:val="20"/>
                <w:szCs w:val="20"/>
              </w:rPr>
              <w:t>657</w:t>
            </w:r>
          </w:p>
        </w:tc>
        <w:tc>
          <w:tcPr>
            <w:tcW w:w="570" w:type="dxa"/>
            <w:gridSpan w:val="4"/>
            <w:shd w:val="clear" w:color="auto" w:fill="FFFFFF"/>
            <w:vAlign w:val="center"/>
          </w:tcPr>
          <w:p w14:paraId="17B19AF0" w14:textId="666CFE85" w:rsidR="003349BF" w:rsidRPr="004F5A9D" w:rsidRDefault="003349BF" w:rsidP="0066729B">
            <w:pPr>
              <w:spacing w:line="240" w:lineRule="auto"/>
              <w:ind w:left="-272" w:firstLine="141"/>
              <w:jc w:val="right"/>
              <w:rPr>
                <w:rFonts w:ascii="Times New Roman" w:hAnsi="Times New Roman"/>
                <w:sz w:val="20"/>
                <w:szCs w:val="20"/>
              </w:rPr>
            </w:pPr>
            <w:r w:rsidRPr="004F5A9D">
              <w:rPr>
                <w:sz w:val="20"/>
                <w:szCs w:val="20"/>
              </w:rPr>
              <w:t>1 317</w:t>
            </w:r>
          </w:p>
        </w:tc>
        <w:tc>
          <w:tcPr>
            <w:tcW w:w="569" w:type="dxa"/>
            <w:gridSpan w:val="3"/>
            <w:shd w:val="clear" w:color="auto" w:fill="FFFFFF"/>
            <w:vAlign w:val="center"/>
          </w:tcPr>
          <w:p w14:paraId="1391B76A" w14:textId="7E6D1917" w:rsidR="003349BF" w:rsidRPr="004F5A9D" w:rsidRDefault="003349BF" w:rsidP="0066729B">
            <w:pPr>
              <w:spacing w:line="240" w:lineRule="auto"/>
              <w:ind w:left="-272" w:firstLine="141"/>
              <w:jc w:val="right"/>
              <w:rPr>
                <w:rFonts w:ascii="Times New Roman" w:hAnsi="Times New Roman"/>
                <w:sz w:val="20"/>
                <w:szCs w:val="20"/>
              </w:rPr>
            </w:pPr>
            <w:r w:rsidRPr="004F5A9D">
              <w:rPr>
                <w:sz w:val="20"/>
                <w:szCs w:val="20"/>
              </w:rPr>
              <w:t>1 976</w:t>
            </w:r>
          </w:p>
        </w:tc>
        <w:tc>
          <w:tcPr>
            <w:tcW w:w="570" w:type="dxa"/>
            <w:shd w:val="clear" w:color="auto" w:fill="FFFFFF"/>
            <w:vAlign w:val="center"/>
          </w:tcPr>
          <w:p w14:paraId="58362942" w14:textId="3A689352" w:rsidR="003349BF" w:rsidRPr="004F5A9D" w:rsidRDefault="003349BF" w:rsidP="0066729B">
            <w:pPr>
              <w:spacing w:line="240" w:lineRule="auto"/>
              <w:ind w:left="-272" w:firstLine="141"/>
              <w:jc w:val="right"/>
              <w:rPr>
                <w:rFonts w:ascii="Times New Roman" w:hAnsi="Times New Roman"/>
                <w:sz w:val="20"/>
                <w:szCs w:val="20"/>
              </w:rPr>
            </w:pPr>
            <w:r w:rsidRPr="004F5A9D">
              <w:rPr>
                <w:sz w:val="20"/>
                <w:szCs w:val="20"/>
              </w:rPr>
              <w:t>2 636</w:t>
            </w:r>
          </w:p>
        </w:tc>
        <w:tc>
          <w:tcPr>
            <w:tcW w:w="570" w:type="dxa"/>
            <w:gridSpan w:val="2"/>
            <w:shd w:val="clear" w:color="auto" w:fill="FFFFFF"/>
            <w:vAlign w:val="center"/>
          </w:tcPr>
          <w:p w14:paraId="30D9BB52" w14:textId="58E89651" w:rsidR="003349BF" w:rsidRPr="004F5A9D" w:rsidRDefault="003349BF" w:rsidP="0066729B">
            <w:pPr>
              <w:spacing w:line="240" w:lineRule="auto"/>
              <w:ind w:left="-272" w:firstLine="141"/>
              <w:jc w:val="right"/>
              <w:rPr>
                <w:rFonts w:ascii="Times New Roman" w:hAnsi="Times New Roman"/>
                <w:sz w:val="20"/>
                <w:szCs w:val="20"/>
              </w:rPr>
            </w:pPr>
            <w:r w:rsidRPr="004F5A9D">
              <w:rPr>
                <w:sz w:val="20"/>
                <w:szCs w:val="20"/>
              </w:rPr>
              <w:t>3 297</w:t>
            </w:r>
          </w:p>
        </w:tc>
        <w:tc>
          <w:tcPr>
            <w:tcW w:w="570" w:type="dxa"/>
            <w:shd w:val="clear" w:color="auto" w:fill="FFFFFF"/>
            <w:vAlign w:val="center"/>
          </w:tcPr>
          <w:p w14:paraId="2BF3F34F" w14:textId="6DDB7FFC" w:rsidR="003349BF" w:rsidRPr="004F5A9D" w:rsidRDefault="003349BF" w:rsidP="0066729B">
            <w:pPr>
              <w:spacing w:line="240" w:lineRule="auto"/>
              <w:ind w:left="-272" w:firstLine="141"/>
              <w:jc w:val="right"/>
              <w:rPr>
                <w:rFonts w:ascii="Times New Roman" w:hAnsi="Times New Roman"/>
                <w:sz w:val="20"/>
                <w:szCs w:val="20"/>
              </w:rPr>
            </w:pPr>
            <w:r w:rsidRPr="004F5A9D">
              <w:rPr>
                <w:sz w:val="20"/>
                <w:szCs w:val="20"/>
              </w:rPr>
              <w:t>3 297</w:t>
            </w:r>
          </w:p>
        </w:tc>
        <w:tc>
          <w:tcPr>
            <w:tcW w:w="1547" w:type="dxa"/>
            <w:gridSpan w:val="3"/>
            <w:shd w:val="clear" w:color="auto" w:fill="FFFFFF"/>
            <w:vAlign w:val="center"/>
          </w:tcPr>
          <w:p w14:paraId="48C9F238" w14:textId="18C9C93B" w:rsidR="003349BF" w:rsidRPr="004F5A9D" w:rsidRDefault="003349BF" w:rsidP="0066729B">
            <w:pPr>
              <w:spacing w:line="240" w:lineRule="auto"/>
              <w:ind w:left="-272" w:firstLine="141"/>
              <w:jc w:val="right"/>
              <w:rPr>
                <w:rFonts w:ascii="Times New Roman" w:hAnsi="Times New Roman"/>
                <w:sz w:val="20"/>
                <w:szCs w:val="20"/>
              </w:rPr>
            </w:pPr>
            <w:r w:rsidRPr="004F5A9D">
              <w:rPr>
                <w:sz w:val="20"/>
                <w:szCs w:val="20"/>
              </w:rPr>
              <w:t>13 178</w:t>
            </w:r>
          </w:p>
        </w:tc>
      </w:tr>
      <w:tr w:rsidR="00557930" w:rsidRPr="0050413F" w14:paraId="40A5FD61" w14:textId="77777777" w:rsidTr="0066729B">
        <w:trPr>
          <w:trHeight w:val="344"/>
        </w:trPr>
        <w:tc>
          <w:tcPr>
            <w:tcW w:w="3133" w:type="dxa"/>
            <w:gridSpan w:val="3"/>
            <w:shd w:val="clear" w:color="auto" w:fill="FFFFFF"/>
            <w:vAlign w:val="center"/>
          </w:tcPr>
          <w:p w14:paraId="64976BFD" w14:textId="77777777" w:rsidR="00557930" w:rsidRPr="0050413F" w:rsidRDefault="00557930" w:rsidP="00557930">
            <w:pPr>
              <w:spacing w:line="240" w:lineRule="auto"/>
              <w:rPr>
                <w:rFonts w:ascii="Times New Roman" w:hAnsi="Times New Roman"/>
                <w:color w:val="000000"/>
              </w:rPr>
            </w:pPr>
            <w:r w:rsidRPr="0050413F">
              <w:rPr>
                <w:rFonts w:ascii="Times New Roman" w:hAnsi="Times New Roman"/>
                <w:color w:val="000000"/>
              </w:rPr>
              <w:t>Urząd Dozoru Technicznego</w:t>
            </w:r>
          </w:p>
        </w:tc>
        <w:tc>
          <w:tcPr>
            <w:tcW w:w="569" w:type="dxa"/>
            <w:gridSpan w:val="3"/>
            <w:shd w:val="clear" w:color="auto" w:fill="FFFFFF"/>
            <w:vAlign w:val="center"/>
          </w:tcPr>
          <w:p w14:paraId="2016A2E7" w14:textId="10399874" w:rsidR="00557930" w:rsidRPr="004F5A9D" w:rsidRDefault="00557930" w:rsidP="0066729B">
            <w:pPr>
              <w:spacing w:line="240" w:lineRule="auto"/>
              <w:ind w:left="-272" w:firstLine="141"/>
              <w:jc w:val="right"/>
              <w:rPr>
                <w:sz w:val="20"/>
                <w:szCs w:val="20"/>
              </w:rPr>
            </w:pPr>
            <w:r w:rsidRPr="004F5A9D">
              <w:rPr>
                <w:sz w:val="20"/>
                <w:szCs w:val="20"/>
              </w:rPr>
              <w:t>0,2</w:t>
            </w:r>
          </w:p>
        </w:tc>
        <w:tc>
          <w:tcPr>
            <w:tcW w:w="570" w:type="dxa"/>
            <w:gridSpan w:val="2"/>
            <w:shd w:val="clear" w:color="auto" w:fill="FFFFFF"/>
            <w:vAlign w:val="center"/>
          </w:tcPr>
          <w:p w14:paraId="1F74312A" w14:textId="0C9A6094" w:rsidR="00557930" w:rsidRPr="004F5A9D" w:rsidRDefault="00557930" w:rsidP="0066729B">
            <w:pPr>
              <w:spacing w:line="240" w:lineRule="auto"/>
              <w:ind w:left="-272" w:firstLine="141"/>
              <w:jc w:val="right"/>
              <w:rPr>
                <w:sz w:val="20"/>
                <w:szCs w:val="20"/>
              </w:rPr>
            </w:pPr>
            <w:r w:rsidRPr="004F5A9D">
              <w:rPr>
                <w:sz w:val="20"/>
                <w:szCs w:val="20"/>
              </w:rPr>
              <w:t>0,4</w:t>
            </w:r>
          </w:p>
        </w:tc>
        <w:tc>
          <w:tcPr>
            <w:tcW w:w="570" w:type="dxa"/>
            <w:gridSpan w:val="3"/>
            <w:shd w:val="clear" w:color="auto" w:fill="FFFFFF"/>
            <w:vAlign w:val="center"/>
          </w:tcPr>
          <w:p w14:paraId="478EE968" w14:textId="1977B75A" w:rsidR="00557930" w:rsidRPr="004F5A9D" w:rsidRDefault="00557930" w:rsidP="0066729B">
            <w:pPr>
              <w:spacing w:line="240" w:lineRule="auto"/>
              <w:ind w:left="-272" w:firstLine="141"/>
              <w:jc w:val="right"/>
              <w:rPr>
                <w:sz w:val="20"/>
                <w:szCs w:val="20"/>
              </w:rPr>
            </w:pPr>
            <w:r w:rsidRPr="004F5A9D">
              <w:rPr>
                <w:sz w:val="20"/>
                <w:szCs w:val="20"/>
              </w:rPr>
              <w:t>0,5</w:t>
            </w:r>
          </w:p>
        </w:tc>
        <w:tc>
          <w:tcPr>
            <w:tcW w:w="569" w:type="dxa"/>
            <w:gridSpan w:val="2"/>
            <w:shd w:val="clear" w:color="auto" w:fill="FFFFFF"/>
            <w:vAlign w:val="center"/>
          </w:tcPr>
          <w:p w14:paraId="509D09C1" w14:textId="20C1CA45" w:rsidR="00557930" w:rsidRPr="004F5A9D" w:rsidRDefault="00557930" w:rsidP="0066729B">
            <w:pPr>
              <w:spacing w:line="240" w:lineRule="auto"/>
              <w:ind w:left="-272" w:firstLine="141"/>
              <w:jc w:val="right"/>
              <w:rPr>
                <w:sz w:val="20"/>
                <w:szCs w:val="20"/>
              </w:rPr>
            </w:pPr>
            <w:r w:rsidRPr="004F5A9D">
              <w:rPr>
                <w:sz w:val="20"/>
                <w:szCs w:val="20"/>
              </w:rPr>
              <w:t>0,6</w:t>
            </w:r>
          </w:p>
        </w:tc>
        <w:tc>
          <w:tcPr>
            <w:tcW w:w="570" w:type="dxa"/>
            <w:gridSpan w:val="2"/>
            <w:shd w:val="clear" w:color="auto" w:fill="FFFFFF"/>
            <w:vAlign w:val="center"/>
          </w:tcPr>
          <w:p w14:paraId="338C1C30" w14:textId="457972FC" w:rsidR="00557930" w:rsidRPr="004F5A9D" w:rsidRDefault="00557930" w:rsidP="0066729B">
            <w:pPr>
              <w:spacing w:line="240" w:lineRule="auto"/>
              <w:ind w:left="-272" w:firstLine="141"/>
              <w:jc w:val="right"/>
              <w:rPr>
                <w:sz w:val="20"/>
                <w:szCs w:val="20"/>
              </w:rPr>
            </w:pPr>
          </w:p>
        </w:tc>
        <w:tc>
          <w:tcPr>
            <w:tcW w:w="570" w:type="dxa"/>
            <w:shd w:val="clear" w:color="auto" w:fill="FFFFFF"/>
            <w:vAlign w:val="center"/>
          </w:tcPr>
          <w:p w14:paraId="21222692" w14:textId="5F3D170B" w:rsidR="00557930" w:rsidRPr="004F5A9D" w:rsidRDefault="00557930" w:rsidP="0066729B">
            <w:pPr>
              <w:spacing w:line="240" w:lineRule="auto"/>
              <w:ind w:left="-272" w:firstLine="141"/>
              <w:jc w:val="right"/>
              <w:rPr>
                <w:rFonts w:ascii="Times New Roman" w:hAnsi="Times New Roman"/>
                <w:sz w:val="20"/>
                <w:szCs w:val="20"/>
              </w:rPr>
            </w:pPr>
          </w:p>
        </w:tc>
        <w:tc>
          <w:tcPr>
            <w:tcW w:w="570" w:type="dxa"/>
            <w:gridSpan w:val="4"/>
            <w:shd w:val="clear" w:color="auto" w:fill="FFFFFF"/>
            <w:vAlign w:val="center"/>
          </w:tcPr>
          <w:p w14:paraId="362E6D4E" w14:textId="45A9F79C" w:rsidR="00557930" w:rsidRPr="004F5A9D" w:rsidRDefault="00557930" w:rsidP="0066729B">
            <w:pPr>
              <w:spacing w:line="240" w:lineRule="auto"/>
              <w:ind w:left="-272" w:firstLine="141"/>
              <w:jc w:val="right"/>
              <w:rPr>
                <w:rFonts w:ascii="Times New Roman" w:hAnsi="Times New Roman"/>
                <w:sz w:val="20"/>
                <w:szCs w:val="20"/>
              </w:rPr>
            </w:pPr>
          </w:p>
        </w:tc>
        <w:tc>
          <w:tcPr>
            <w:tcW w:w="569" w:type="dxa"/>
            <w:gridSpan w:val="3"/>
            <w:shd w:val="clear" w:color="auto" w:fill="FFFFFF"/>
            <w:vAlign w:val="center"/>
          </w:tcPr>
          <w:p w14:paraId="2E242101" w14:textId="248CE3C1" w:rsidR="00557930" w:rsidRPr="004F5A9D" w:rsidRDefault="00557930" w:rsidP="0066729B">
            <w:pPr>
              <w:spacing w:line="240" w:lineRule="auto"/>
              <w:ind w:left="-272" w:firstLine="141"/>
              <w:jc w:val="right"/>
              <w:rPr>
                <w:rFonts w:ascii="Times New Roman" w:hAnsi="Times New Roman"/>
                <w:sz w:val="20"/>
                <w:szCs w:val="20"/>
              </w:rPr>
            </w:pPr>
          </w:p>
        </w:tc>
        <w:tc>
          <w:tcPr>
            <w:tcW w:w="570" w:type="dxa"/>
            <w:shd w:val="clear" w:color="auto" w:fill="FFFFFF"/>
            <w:vAlign w:val="center"/>
          </w:tcPr>
          <w:p w14:paraId="3B12EAC5" w14:textId="4C0A32E9" w:rsidR="00557930" w:rsidRPr="004F5A9D" w:rsidRDefault="00557930" w:rsidP="0066729B">
            <w:pPr>
              <w:spacing w:line="240" w:lineRule="auto"/>
              <w:ind w:left="-272" w:firstLine="141"/>
              <w:jc w:val="right"/>
              <w:rPr>
                <w:rFonts w:ascii="Times New Roman" w:hAnsi="Times New Roman"/>
                <w:sz w:val="20"/>
                <w:szCs w:val="20"/>
              </w:rPr>
            </w:pPr>
          </w:p>
        </w:tc>
        <w:tc>
          <w:tcPr>
            <w:tcW w:w="570" w:type="dxa"/>
            <w:gridSpan w:val="2"/>
            <w:shd w:val="clear" w:color="auto" w:fill="FFFFFF"/>
            <w:vAlign w:val="center"/>
          </w:tcPr>
          <w:p w14:paraId="5FC56560" w14:textId="3E4FFFA4" w:rsidR="00557930" w:rsidRPr="004F5A9D" w:rsidRDefault="00557930" w:rsidP="0066729B">
            <w:pPr>
              <w:spacing w:line="240" w:lineRule="auto"/>
              <w:ind w:left="-272" w:firstLine="141"/>
              <w:jc w:val="right"/>
              <w:rPr>
                <w:rFonts w:ascii="Times New Roman" w:hAnsi="Times New Roman"/>
                <w:sz w:val="20"/>
                <w:szCs w:val="20"/>
              </w:rPr>
            </w:pPr>
          </w:p>
        </w:tc>
        <w:tc>
          <w:tcPr>
            <w:tcW w:w="570" w:type="dxa"/>
            <w:shd w:val="clear" w:color="auto" w:fill="FFFFFF"/>
            <w:vAlign w:val="center"/>
          </w:tcPr>
          <w:p w14:paraId="32CEFD9A" w14:textId="1E0F1F1B" w:rsidR="00557930" w:rsidRPr="004F5A9D" w:rsidRDefault="00557930" w:rsidP="0066729B">
            <w:pPr>
              <w:spacing w:line="240" w:lineRule="auto"/>
              <w:ind w:left="-272" w:firstLine="141"/>
              <w:jc w:val="right"/>
              <w:rPr>
                <w:rFonts w:ascii="Times New Roman" w:hAnsi="Times New Roman"/>
                <w:sz w:val="20"/>
                <w:szCs w:val="20"/>
              </w:rPr>
            </w:pPr>
          </w:p>
        </w:tc>
        <w:tc>
          <w:tcPr>
            <w:tcW w:w="1547" w:type="dxa"/>
            <w:gridSpan w:val="3"/>
            <w:shd w:val="clear" w:color="auto" w:fill="FFFFFF"/>
            <w:vAlign w:val="center"/>
          </w:tcPr>
          <w:p w14:paraId="49E3BBBC" w14:textId="45291132" w:rsidR="00557930" w:rsidRPr="004F5A9D" w:rsidRDefault="00557930" w:rsidP="0066729B">
            <w:pPr>
              <w:spacing w:line="240" w:lineRule="auto"/>
              <w:ind w:left="-272" w:firstLine="141"/>
              <w:jc w:val="right"/>
              <w:rPr>
                <w:rFonts w:ascii="Times New Roman" w:hAnsi="Times New Roman"/>
                <w:sz w:val="20"/>
                <w:szCs w:val="20"/>
              </w:rPr>
            </w:pPr>
            <w:r w:rsidRPr="0066729B">
              <w:rPr>
                <w:sz w:val="20"/>
                <w:szCs w:val="20"/>
              </w:rPr>
              <w:t>1,7</w:t>
            </w:r>
          </w:p>
        </w:tc>
      </w:tr>
      <w:tr w:rsidR="006C4216" w:rsidRPr="0050413F" w14:paraId="70EC98FE" w14:textId="77777777" w:rsidTr="0066729B">
        <w:trPr>
          <w:trHeight w:val="344"/>
        </w:trPr>
        <w:tc>
          <w:tcPr>
            <w:tcW w:w="3133" w:type="dxa"/>
            <w:gridSpan w:val="3"/>
            <w:shd w:val="clear" w:color="auto" w:fill="FFFFFF"/>
            <w:vAlign w:val="center"/>
          </w:tcPr>
          <w:p w14:paraId="0AD6086B" w14:textId="53858274" w:rsidR="002E5FFA" w:rsidRPr="0050413F" w:rsidRDefault="00557930" w:rsidP="0066729B">
            <w:pPr>
              <w:spacing w:line="240" w:lineRule="auto"/>
              <w:rPr>
                <w:rFonts w:ascii="Times New Roman" w:hAnsi="Times New Roman"/>
                <w:color w:val="000000"/>
              </w:rPr>
            </w:pPr>
            <w:r>
              <w:rPr>
                <w:rFonts w:ascii="Times New Roman" w:hAnsi="Times New Roman"/>
                <w:color w:val="000000"/>
              </w:rPr>
              <w:t>jednostki samorządu terytorialnego</w:t>
            </w:r>
          </w:p>
        </w:tc>
        <w:tc>
          <w:tcPr>
            <w:tcW w:w="569" w:type="dxa"/>
            <w:gridSpan w:val="3"/>
            <w:shd w:val="clear" w:color="auto" w:fill="FFFFFF"/>
            <w:vAlign w:val="center"/>
          </w:tcPr>
          <w:p w14:paraId="500D9F8D" w14:textId="77777777" w:rsidR="002E5FFA" w:rsidRPr="004F5A9D" w:rsidRDefault="002E5FFA" w:rsidP="0066729B">
            <w:pPr>
              <w:spacing w:line="240" w:lineRule="auto"/>
              <w:jc w:val="right"/>
              <w:rPr>
                <w:rFonts w:ascii="Times New Roman" w:hAnsi="Times New Roman"/>
                <w:color w:val="000000"/>
                <w:sz w:val="20"/>
                <w:szCs w:val="20"/>
              </w:rPr>
            </w:pPr>
          </w:p>
        </w:tc>
        <w:tc>
          <w:tcPr>
            <w:tcW w:w="570" w:type="dxa"/>
            <w:gridSpan w:val="2"/>
            <w:shd w:val="clear" w:color="auto" w:fill="FFFFFF"/>
            <w:vAlign w:val="center"/>
          </w:tcPr>
          <w:p w14:paraId="35AEC448" w14:textId="77777777" w:rsidR="002E5FFA" w:rsidRPr="004F5A9D" w:rsidRDefault="002E5FFA" w:rsidP="0066729B">
            <w:pPr>
              <w:spacing w:line="240" w:lineRule="auto"/>
              <w:jc w:val="right"/>
              <w:rPr>
                <w:rFonts w:ascii="Times New Roman" w:hAnsi="Times New Roman"/>
                <w:color w:val="000000"/>
                <w:sz w:val="20"/>
                <w:szCs w:val="20"/>
              </w:rPr>
            </w:pPr>
          </w:p>
        </w:tc>
        <w:tc>
          <w:tcPr>
            <w:tcW w:w="570" w:type="dxa"/>
            <w:gridSpan w:val="3"/>
            <w:shd w:val="clear" w:color="auto" w:fill="FFFFFF"/>
            <w:vAlign w:val="center"/>
          </w:tcPr>
          <w:p w14:paraId="0CACD2C1" w14:textId="77777777" w:rsidR="002E5FFA" w:rsidRPr="004F5A9D" w:rsidRDefault="002E5FFA" w:rsidP="0066729B">
            <w:pPr>
              <w:spacing w:line="240" w:lineRule="auto"/>
              <w:jc w:val="right"/>
              <w:rPr>
                <w:rFonts w:ascii="Times New Roman" w:hAnsi="Times New Roman"/>
                <w:color w:val="000000"/>
                <w:sz w:val="20"/>
                <w:szCs w:val="20"/>
              </w:rPr>
            </w:pPr>
          </w:p>
        </w:tc>
        <w:tc>
          <w:tcPr>
            <w:tcW w:w="569" w:type="dxa"/>
            <w:gridSpan w:val="2"/>
            <w:shd w:val="clear" w:color="auto" w:fill="FFFFFF"/>
            <w:vAlign w:val="center"/>
          </w:tcPr>
          <w:p w14:paraId="5D1DEC5C" w14:textId="77777777" w:rsidR="002E5FFA" w:rsidRPr="004F5A9D" w:rsidRDefault="002E5FFA" w:rsidP="0066729B">
            <w:pPr>
              <w:spacing w:line="240" w:lineRule="auto"/>
              <w:jc w:val="right"/>
              <w:rPr>
                <w:rFonts w:ascii="Times New Roman" w:hAnsi="Times New Roman"/>
                <w:color w:val="000000"/>
                <w:sz w:val="20"/>
                <w:szCs w:val="20"/>
              </w:rPr>
            </w:pPr>
          </w:p>
        </w:tc>
        <w:tc>
          <w:tcPr>
            <w:tcW w:w="570" w:type="dxa"/>
            <w:gridSpan w:val="2"/>
            <w:shd w:val="clear" w:color="auto" w:fill="FFFFFF"/>
            <w:vAlign w:val="center"/>
          </w:tcPr>
          <w:p w14:paraId="600172BE" w14:textId="77777777" w:rsidR="002E5FFA" w:rsidRPr="004F5A9D" w:rsidRDefault="002E5FFA" w:rsidP="0066729B">
            <w:pPr>
              <w:spacing w:line="240" w:lineRule="auto"/>
              <w:ind w:left="-272" w:firstLine="141"/>
              <w:jc w:val="right"/>
              <w:rPr>
                <w:rFonts w:ascii="Times New Roman" w:hAnsi="Times New Roman"/>
                <w:color w:val="000000"/>
                <w:sz w:val="20"/>
                <w:szCs w:val="20"/>
              </w:rPr>
            </w:pPr>
          </w:p>
        </w:tc>
        <w:tc>
          <w:tcPr>
            <w:tcW w:w="570" w:type="dxa"/>
            <w:shd w:val="clear" w:color="auto" w:fill="FFFFFF"/>
            <w:vAlign w:val="center"/>
          </w:tcPr>
          <w:p w14:paraId="329BBD63" w14:textId="77777777" w:rsidR="002E5FFA" w:rsidRPr="004F5A9D" w:rsidRDefault="002E5FFA" w:rsidP="0066729B">
            <w:pPr>
              <w:spacing w:line="240" w:lineRule="auto"/>
              <w:ind w:left="-272" w:firstLine="141"/>
              <w:jc w:val="right"/>
              <w:rPr>
                <w:rFonts w:ascii="Times New Roman" w:hAnsi="Times New Roman"/>
                <w:color w:val="000000"/>
                <w:sz w:val="20"/>
                <w:szCs w:val="20"/>
              </w:rPr>
            </w:pPr>
          </w:p>
        </w:tc>
        <w:tc>
          <w:tcPr>
            <w:tcW w:w="570" w:type="dxa"/>
            <w:gridSpan w:val="4"/>
            <w:shd w:val="clear" w:color="auto" w:fill="FFFFFF"/>
            <w:vAlign w:val="center"/>
          </w:tcPr>
          <w:p w14:paraId="1BBD5B0E" w14:textId="77777777" w:rsidR="002E5FFA" w:rsidRPr="004F5A9D" w:rsidRDefault="002E5FFA" w:rsidP="0066729B">
            <w:pPr>
              <w:spacing w:line="240" w:lineRule="auto"/>
              <w:ind w:left="-272" w:firstLine="141"/>
              <w:jc w:val="right"/>
              <w:rPr>
                <w:rFonts w:ascii="Times New Roman" w:hAnsi="Times New Roman"/>
                <w:color w:val="000000"/>
                <w:sz w:val="20"/>
                <w:szCs w:val="20"/>
              </w:rPr>
            </w:pPr>
          </w:p>
        </w:tc>
        <w:tc>
          <w:tcPr>
            <w:tcW w:w="569" w:type="dxa"/>
            <w:gridSpan w:val="3"/>
            <w:shd w:val="clear" w:color="auto" w:fill="FFFFFF"/>
            <w:vAlign w:val="center"/>
          </w:tcPr>
          <w:p w14:paraId="4A5AE4A1" w14:textId="77777777" w:rsidR="002E5FFA" w:rsidRPr="004F5A9D" w:rsidRDefault="002E5FFA" w:rsidP="0066729B">
            <w:pPr>
              <w:spacing w:line="240" w:lineRule="auto"/>
              <w:ind w:left="-272" w:firstLine="141"/>
              <w:jc w:val="right"/>
              <w:rPr>
                <w:rFonts w:ascii="Times New Roman" w:hAnsi="Times New Roman"/>
                <w:color w:val="000000"/>
                <w:sz w:val="20"/>
                <w:szCs w:val="20"/>
              </w:rPr>
            </w:pPr>
          </w:p>
        </w:tc>
        <w:tc>
          <w:tcPr>
            <w:tcW w:w="570" w:type="dxa"/>
            <w:shd w:val="clear" w:color="auto" w:fill="FFFFFF"/>
            <w:vAlign w:val="center"/>
          </w:tcPr>
          <w:p w14:paraId="1C01C557" w14:textId="77777777" w:rsidR="002E5FFA" w:rsidRPr="004F5A9D" w:rsidRDefault="002E5FFA" w:rsidP="0066729B">
            <w:pPr>
              <w:spacing w:line="240" w:lineRule="auto"/>
              <w:ind w:left="-272" w:firstLine="141"/>
              <w:jc w:val="right"/>
              <w:rPr>
                <w:rFonts w:ascii="Times New Roman" w:hAnsi="Times New Roman"/>
                <w:color w:val="000000"/>
                <w:sz w:val="20"/>
                <w:szCs w:val="20"/>
              </w:rPr>
            </w:pPr>
          </w:p>
        </w:tc>
        <w:tc>
          <w:tcPr>
            <w:tcW w:w="570" w:type="dxa"/>
            <w:gridSpan w:val="2"/>
            <w:shd w:val="clear" w:color="auto" w:fill="FFFFFF"/>
            <w:vAlign w:val="center"/>
          </w:tcPr>
          <w:p w14:paraId="0AFC4DB6" w14:textId="77777777" w:rsidR="002E5FFA" w:rsidRPr="004F5A9D" w:rsidRDefault="002E5FFA" w:rsidP="0066729B">
            <w:pPr>
              <w:spacing w:line="240" w:lineRule="auto"/>
              <w:ind w:left="-272" w:firstLine="141"/>
              <w:jc w:val="right"/>
              <w:rPr>
                <w:rFonts w:ascii="Times New Roman" w:hAnsi="Times New Roman"/>
                <w:color w:val="000000"/>
                <w:sz w:val="20"/>
                <w:szCs w:val="20"/>
              </w:rPr>
            </w:pPr>
          </w:p>
        </w:tc>
        <w:tc>
          <w:tcPr>
            <w:tcW w:w="570" w:type="dxa"/>
            <w:shd w:val="clear" w:color="auto" w:fill="FFFFFF"/>
            <w:vAlign w:val="center"/>
          </w:tcPr>
          <w:p w14:paraId="0C3DEDF3" w14:textId="77777777" w:rsidR="002E5FFA" w:rsidRPr="004F5A9D" w:rsidRDefault="002E5FFA" w:rsidP="0066729B">
            <w:pPr>
              <w:spacing w:line="240" w:lineRule="auto"/>
              <w:ind w:left="-272" w:firstLine="141"/>
              <w:jc w:val="right"/>
              <w:rPr>
                <w:rFonts w:ascii="Times New Roman" w:hAnsi="Times New Roman"/>
                <w:color w:val="000000"/>
                <w:sz w:val="20"/>
                <w:szCs w:val="20"/>
              </w:rPr>
            </w:pPr>
          </w:p>
        </w:tc>
        <w:tc>
          <w:tcPr>
            <w:tcW w:w="1547" w:type="dxa"/>
            <w:gridSpan w:val="3"/>
            <w:shd w:val="clear" w:color="auto" w:fill="FFFFFF"/>
            <w:vAlign w:val="center"/>
          </w:tcPr>
          <w:p w14:paraId="3EDE4AE9" w14:textId="77777777" w:rsidR="002E5FFA" w:rsidRPr="004F5A9D" w:rsidRDefault="002E5FFA" w:rsidP="0066729B">
            <w:pPr>
              <w:spacing w:line="240" w:lineRule="auto"/>
              <w:ind w:left="-272" w:firstLine="141"/>
              <w:jc w:val="right"/>
              <w:rPr>
                <w:rFonts w:ascii="Times New Roman" w:hAnsi="Times New Roman"/>
                <w:color w:val="000000"/>
                <w:sz w:val="20"/>
                <w:szCs w:val="20"/>
              </w:rPr>
            </w:pPr>
          </w:p>
        </w:tc>
      </w:tr>
      <w:tr w:rsidR="006C4216" w:rsidRPr="0050413F" w14:paraId="4217AAA1" w14:textId="77777777" w:rsidTr="0066729B">
        <w:trPr>
          <w:trHeight w:val="344"/>
        </w:trPr>
        <w:tc>
          <w:tcPr>
            <w:tcW w:w="3133" w:type="dxa"/>
            <w:gridSpan w:val="3"/>
            <w:shd w:val="clear" w:color="auto" w:fill="FFFFFF"/>
            <w:vAlign w:val="center"/>
          </w:tcPr>
          <w:p w14:paraId="3FB64BFF"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pozostałe jednostki (oddzielnie)</w:t>
            </w:r>
          </w:p>
        </w:tc>
        <w:tc>
          <w:tcPr>
            <w:tcW w:w="569" w:type="dxa"/>
            <w:gridSpan w:val="3"/>
            <w:shd w:val="clear" w:color="auto" w:fill="FFFFFF"/>
            <w:vAlign w:val="center"/>
          </w:tcPr>
          <w:p w14:paraId="4F8E5C10" w14:textId="77777777" w:rsidR="002E5FFA" w:rsidRPr="004F5A9D" w:rsidRDefault="002E5FFA" w:rsidP="0066729B">
            <w:pPr>
              <w:spacing w:line="240" w:lineRule="auto"/>
              <w:jc w:val="right"/>
              <w:rPr>
                <w:rFonts w:ascii="Times New Roman" w:hAnsi="Times New Roman"/>
                <w:color w:val="000000"/>
                <w:sz w:val="20"/>
                <w:szCs w:val="20"/>
              </w:rPr>
            </w:pPr>
          </w:p>
        </w:tc>
        <w:tc>
          <w:tcPr>
            <w:tcW w:w="570" w:type="dxa"/>
            <w:gridSpan w:val="2"/>
            <w:shd w:val="clear" w:color="auto" w:fill="FFFFFF"/>
            <w:vAlign w:val="center"/>
          </w:tcPr>
          <w:p w14:paraId="236EB744" w14:textId="77777777" w:rsidR="002E5FFA" w:rsidRPr="004F5A9D" w:rsidRDefault="002E5FFA" w:rsidP="0066729B">
            <w:pPr>
              <w:spacing w:line="240" w:lineRule="auto"/>
              <w:jc w:val="right"/>
              <w:rPr>
                <w:rFonts w:ascii="Times New Roman" w:hAnsi="Times New Roman"/>
                <w:color w:val="000000"/>
                <w:sz w:val="20"/>
                <w:szCs w:val="20"/>
              </w:rPr>
            </w:pPr>
          </w:p>
        </w:tc>
        <w:tc>
          <w:tcPr>
            <w:tcW w:w="570" w:type="dxa"/>
            <w:gridSpan w:val="3"/>
            <w:shd w:val="clear" w:color="auto" w:fill="FFFFFF"/>
            <w:vAlign w:val="center"/>
          </w:tcPr>
          <w:p w14:paraId="6979834B" w14:textId="77777777" w:rsidR="002E5FFA" w:rsidRPr="004F5A9D" w:rsidRDefault="002E5FFA" w:rsidP="0066729B">
            <w:pPr>
              <w:spacing w:line="240" w:lineRule="auto"/>
              <w:jc w:val="right"/>
              <w:rPr>
                <w:rFonts w:ascii="Times New Roman" w:hAnsi="Times New Roman"/>
                <w:color w:val="000000"/>
                <w:sz w:val="20"/>
                <w:szCs w:val="20"/>
              </w:rPr>
            </w:pPr>
          </w:p>
        </w:tc>
        <w:tc>
          <w:tcPr>
            <w:tcW w:w="569" w:type="dxa"/>
            <w:gridSpan w:val="2"/>
            <w:shd w:val="clear" w:color="auto" w:fill="FFFFFF"/>
            <w:vAlign w:val="center"/>
          </w:tcPr>
          <w:p w14:paraId="75AEBB0B" w14:textId="77777777" w:rsidR="002E5FFA" w:rsidRPr="004F5A9D" w:rsidRDefault="002E5FFA" w:rsidP="0066729B">
            <w:pPr>
              <w:spacing w:line="240" w:lineRule="auto"/>
              <w:jc w:val="right"/>
              <w:rPr>
                <w:rFonts w:ascii="Times New Roman" w:hAnsi="Times New Roman"/>
                <w:color w:val="000000"/>
                <w:sz w:val="20"/>
                <w:szCs w:val="20"/>
              </w:rPr>
            </w:pPr>
          </w:p>
        </w:tc>
        <w:tc>
          <w:tcPr>
            <w:tcW w:w="570" w:type="dxa"/>
            <w:gridSpan w:val="2"/>
            <w:shd w:val="clear" w:color="auto" w:fill="FFFFFF"/>
            <w:vAlign w:val="center"/>
          </w:tcPr>
          <w:p w14:paraId="4B4A9D4A" w14:textId="77777777" w:rsidR="002E5FFA" w:rsidRPr="004F5A9D" w:rsidRDefault="002E5FFA" w:rsidP="0066729B">
            <w:pPr>
              <w:spacing w:line="240" w:lineRule="auto"/>
              <w:ind w:left="-272" w:firstLine="141"/>
              <w:jc w:val="right"/>
              <w:rPr>
                <w:rFonts w:ascii="Times New Roman" w:hAnsi="Times New Roman"/>
                <w:color w:val="000000"/>
                <w:sz w:val="20"/>
                <w:szCs w:val="20"/>
              </w:rPr>
            </w:pPr>
          </w:p>
        </w:tc>
        <w:tc>
          <w:tcPr>
            <w:tcW w:w="570" w:type="dxa"/>
            <w:shd w:val="clear" w:color="auto" w:fill="FFFFFF"/>
            <w:vAlign w:val="center"/>
          </w:tcPr>
          <w:p w14:paraId="08810950" w14:textId="77777777" w:rsidR="002E5FFA" w:rsidRPr="004F5A9D" w:rsidRDefault="002E5FFA" w:rsidP="0066729B">
            <w:pPr>
              <w:spacing w:line="240" w:lineRule="auto"/>
              <w:ind w:left="-272" w:firstLine="141"/>
              <w:jc w:val="right"/>
              <w:rPr>
                <w:rFonts w:ascii="Times New Roman" w:hAnsi="Times New Roman"/>
                <w:color w:val="000000"/>
                <w:sz w:val="20"/>
                <w:szCs w:val="20"/>
              </w:rPr>
            </w:pPr>
          </w:p>
        </w:tc>
        <w:tc>
          <w:tcPr>
            <w:tcW w:w="570" w:type="dxa"/>
            <w:gridSpan w:val="4"/>
            <w:shd w:val="clear" w:color="auto" w:fill="FFFFFF"/>
            <w:vAlign w:val="center"/>
          </w:tcPr>
          <w:p w14:paraId="594EE4FA" w14:textId="77777777" w:rsidR="002E5FFA" w:rsidRPr="004F5A9D" w:rsidRDefault="002E5FFA" w:rsidP="0066729B">
            <w:pPr>
              <w:spacing w:line="240" w:lineRule="auto"/>
              <w:ind w:left="-272" w:firstLine="141"/>
              <w:jc w:val="right"/>
              <w:rPr>
                <w:rFonts w:ascii="Times New Roman" w:hAnsi="Times New Roman"/>
                <w:color w:val="000000"/>
                <w:sz w:val="20"/>
                <w:szCs w:val="20"/>
              </w:rPr>
            </w:pPr>
          </w:p>
        </w:tc>
        <w:tc>
          <w:tcPr>
            <w:tcW w:w="569" w:type="dxa"/>
            <w:gridSpan w:val="3"/>
            <w:shd w:val="clear" w:color="auto" w:fill="FFFFFF"/>
            <w:vAlign w:val="center"/>
          </w:tcPr>
          <w:p w14:paraId="42B33D63" w14:textId="77777777" w:rsidR="002E5FFA" w:rsidRPr="004F5A9D" w:rsidRDefault="002E5FFA" w:rsidP="0066729B">
            <w:pPr>
              <w:spacing w:line="240" w:lineRule="auto"/>
              <w:ind w:left="-272" w:firstLine="141"/>
              <w:jc w:val="right"/>
              <w:rPr>
                <w:rFonts w:ascii="Times New Roman" w:hAnsi="Times New Roman"/>
                <w:color w:val="000000"/>
                <w:sz w:val="20"/>
                <w:szCs w:val="20"/>
              </w:rPr>
            </w:pPr>
          </w:p>
        </w:tc>
        <w:tc>
          <w:tcPr>
            <w:tcW w:w="570" w:type="dxa"/>
            <w:shd w:val="clear" w:color="auto" w:fill="FFFFFF"/>
            <w:vAlign w:val="center"/>
          </w:tcPr>
          <w:p w14:paraId="7146CE63" w14:textId="77777777" w:rsidR="002E5FFA" w:rsidRPr="004F5A9D" w:rsidRDefault="002E5FFA" w:rsidP="0066729B">
            <w:pPr>
              <w:spacing w:line="240" w:lineRule="auto"/>
              <w:ind w:left="-272" w:firstLine="141"/>
              <w:jc w:val="right"/>
              <w:rPr>
                <w:rFonts w:ascii="Times New Roman" w:hAnsi="Times New Roman"/>
                <w:color w:val="000000"/>
                <w:sz w:val="20"/>
                <w:szCs w:val="20"/>
              </w:rPr>
            </w:pPr>
          </w:p>
        </w:tc>
        <w:tc>
          <w:tcPr>
            <w:tcW w:w="570" w:type="dxa"/>
            <w:gridSpan w:val="2"/>
            <w:shd w:val="clear" w:color="auto" w:fill="FFFFFF"/>
            <w:vAlign w:val="center"/>
          </w:tcPr>
          <w:p w14:paraId="44689A7C" w14:textId="77777777" w:rsidR="002E5FFA" w:rsidRPr="004F5A9D" w:rsidRDefault="002E5FFA" w:rsidP="0066729B">
            <w:pPr>
              <w:spacing w:line="240" w:lineRule="auto"/>
              <w:ind w:left="-272" w:firstLine="141"/>
              <w:jc w:val="right"/>
              <w:rPr>
                <w:rFonts w:ascii="Times New Roman" w:hAnsi="Times New Roman"/>
                <w:color w:val="000000"/>
                <w:sz w:val="20"/>
                <w:szCs w:val="20"/>
              </w:rPr>
            </w:pPr>
          </w:p>
        </w:tc>
        <w:tc>
          <w:tcPr>
            <w:tcW w:w="570" w:type="dxa"/>
            <w:shd w:val="clear" w:color="auto" w:fill="FFFFFF"/>
            <w:vAlign w:val="center"/>
          </w:tcPr>
          <w:p w14:paraId="7BFB5DE3" w14:textId="77777777" w:rsidR="002E5FFA" w:rsidRPr="004F5A9D" w:rsidRDefault="002E5FFA" w:rsidP="0066729B">
            <w:pPr>
              <w:spacing w:line="240" w:lineRule="auto"/>
              <w:ind w:left="-272" w:firstLine="141"/>
              <w:jc w:val="right"/>
              <w:rPr>
                <w:rFonts w:ascii="Times New Roman" w:hAnsi="Times New Roman"/>
                <w:color w:val="000000"/>
                <w:sz w:val="20"/>
                <w:szCs w:val="20"/>
              </w:rPr>
            </w:pPr>
          </w:p>
        </w:tc>
        <w:tc>
          <w:tcPr>
            <w:tcW w:w="1547" w:type="dxa"/>
            <w:gridSpan w:val="3"/>
            <w:shd w:val="clear" w:color="auto" w:fill="FFFFFF"/>
            <w:vAlign w:val="center"/>
          </w:tcPr>
          <w:p w14:paraId="754DBB4F" w14:textId="77777777" w:rsidR="002E5FFA" w:rsidRPr="004F5A9D" w:rsidRDefault="002E5FFA" w:rsidP="0066729B">
            <w:pPr>
              <w:spacing w:line="240" w:lineRule="auto"/>
              <w:ind w:left="-272" w:firstLine="141"/>
              <w:jc w:val="right"/>
              <w:rPr>
                <w:rFonts w:ascii="Times New Roman" w:hAnsi="Times New Roman"/>
                <w:color w:val="000000"/>
                <w:sz w:val="20"/>
                <w:szCs w:val="20"/>
              </w:rPr>
            </w:pPr>
          </w:p>
        </w:tc>
      </w:tr>
      <w:tr w:rsidR="003349BF" w:rsidRPr="0050413F" w14:paraId="3FB117CB" w14:textId="77777777" w:rsidTr="0066729B">
        <w:trPr>
          <w:trHeight w:val="330"/>
        </w:trPr>
        <w:tc>
          <w:tcPr>
            <w:tcW w:w="3133" w:type="dxa"/>
            <w:gridSpan w:val="3"/>
            <w:shd w:val="clear" w:color="auto" w:fill="FFFFFF"/>
            <w:vAlign w:val="center"/>
          </w:tcPr>
          <w:p w14:paraId="20F9AFBE" w14:textId="77777777" w:rsidR="003349BF" w:rsidRPr="0050413F" w:rsidRDefault="003349BF" w:rsidP="003349BF">
            <w:pPr>
              <w:spacing w:line="240" w:lineRule="auto"/>
              <w:rPr>
                <w:rFonts w:ascii="Times New Roman" w:hAnsi="Times New Roman"/>
                <w:color w:val="000000"/>
              </w:rPr>
            </w:pPr>
            <w:r w:rsidRPr="0050413F">
              <w:rPr>
                <w:rFonts w:ascii="Times New Roman" w:hAnsi="Times New Roman"/>
                <w:b/>
                <w:color w:val="000000"/>
              </w:rPr>
              <w:t>Wydatki ogółem</w:t>
            </w:r>
          </w:p>
        </w:tc>
        <w:tc>
          <w:tcPr>
            <w:tcW w:w="569" w:type="dxa"/>
            <w:gridSpan w:val="3"/>
            <w:shd w:val="clear" w:color="auto" w:fill="FFFFFF"/>
            <w:vAlign w:val="center"/>
          </w:tcPr>
          <w:p w14:paraId="25D7C9EB" w14:textId="43EA8D6F" w:rsidR="003349BF" w:rsidRPr="004F5A9D" w:rsidRDefault="003349BF" w:rsidP="0066729B">
            <w:pPr>
              <w:spacing w:line="240" w:lineRule="auto"/>
              <w:ind w:left="-272" w:firstLine="141"/>
              <w:jc w:val="right"/>
              <w:rPr>
                <w:rFonts w:ascii="Times New Roman" w:hAnsi="Times New Roman"/>
                <w:b/>
                <w:bCs/>
                <w:sz w:val="20"/>
                <w:szCs w:val="20"/>
              </w:rPr>
            </w:pPr>
            <w:r w:rsidRPr="004F5A9D">
              <w:rPr>
                <w:b/>
                <w:bCs/>
                <w:sz w:val="20"/>
                <w:szCs w:val="20"/>
              </w:rPr>
              <w:t>89</w:t>
            </w:r>
          </w:p>
        </w:tc>
        <w:tc>
          <w:tcPr>
            <w:tcW w:w="570" w:type="dxa"/>
            <w:gridSpan w:val="2"/>
            <w:shd w:val="clear" w:color="auto" w:fill="FFFFFF"/>
            <w:vAlign w:val="center"/>
          </w:tcPr>
          <w:p w14:paraId="6269F132" w14:textId="1840A761" w:rsidR="003349BF" w:rsidRPr="004F5A9D" w:rsidRDefault="003349BF" w:rsidP="0066729B">
            <w:pPr>
              <w:spacing w:line="240" w:lineRule="auto"/>
              <w:ind w:left="-272" w:firstLine="141"/>
              <w:jc w:val="right"/>
              <w:rPr>
                <w:rFonts w:ascii="Times New Roman" w:hAnsi="Times New Roman"/>
                <w:b/>
                <w:bCs/>
                <w:sz w:val="20"/>
                <w:szCs w:val="20"/>
              </w:rPr>
            </w:pPr>
            <w:r w:rsidRPr="004F5A9D">
              <w:rPr>
                <w:b/>
                <w:bCs/>
                <w:sz w:val="20"/>
                <w:szCs w:val="20"/>
              </w:rPr>
              <w:t>89</w:t>
            </w:r>
          </w:p>
        </w:tc>
        <w:tc>
          <w:tcPr>
            <w:tcW w:w="570" w:type="dxa"/>
            <w:gridSpan w:val="3"/>
            <w:shd w:val="clear" w:color="auto" w:fill="FFFFFF"/>
            <w:vAlign w:val="center"/>
          </w:tcPr>
          <w:p w14:paraId="1556E72E" w14:textId="0361F5BB" w:rsidR="003349BF" w:rsidRPr="004F5A9D" w:rsidRDefault="003349BF" w:rsidP="0066729B">
            <w:pPr>
              <w:spacing w:line="240" w:lineRule="auto"/>
              <w:ind w:left="-272" w:firstLine="141"/>
              <w:jc w:val="right"/>
              <w:rPr>
                <w:rFonts w:ascii="Times New Roman" w:hAnsi="Times New Roman"/>
                <w:b/>
                <w:bCs/>
                <w:sz w:val="20"/>
                <w:szCs w:val="20"/>
              </w:rPr>
            </w:pPr>
            <w:r w:rsidRPr="004F5A9D">
              <w:rPr>
                <w:b/>
                <w:bCs/>
                <w:sz w:val="20"/>
                <w:szCs w:val="20"/>
              </w:rPr>
              <w:t>89</w:t>
            </w:r>
          </w:p>
        </w:tc>
        <w:tc>
          <w:tcPr>
            <w:tcW w:w="569" w:type="dxa"/>
            <w:gridSpan w:val="2"/>
            <w:shd w:val="clear" w:color="auto" w:fill="FFFFFF"/>
            <w:vAlign w:val="center"/>
          </w:tcPr>
          <w:p w14:paraId="41EF8549" w14:textId="601CB0F7" w:rsidR="003349BF" w:rsidRPr="004F5A9D" w:rsidRDefault="003349BF" w:rsidP="0066729B">
            <w:pPr>
              <w:spacing w:line="240" w:lineRule="auto"/>
              <w:ind w:left="-272" w:firstLine="141"/>
              <w:jc w:val="right"/>
              <w:rPr>
                <w:rFonts w:ascii="Times New Roman" w:hAnsi="Times New Roman"/>
                <w:b/>
                <w:bCs/>
                <w:sz w:val="20"/>
                <w:szCs w:val="20"/>
              </w:rPr>
            </w:pPr>
            <w:r w:rsidRPr="004F5A9D">
              <w:rPr>
                <w:b/>
                <w:bCs/>
                <w:sz w:val="20"/>
                <w:szCs w:val="20"/>
              </w:rPr>
              <w:t>89</w:t>
            </w:r>
          </w:p>
        </w:tc>
        <w:tc>
          <w:tcPr>
            <w:tcW w:w="570" w:type="dxa"/>
            <w:gridSpan w:val="2"/>
            <w:shd w:val="clear" w:color="auto" w:fill="FFFFFF"/>
            <w:vAlign w:val="center"/>
          </w:tcPr>
          <w:p w14:paraId="1CD9167E" w14:textId="47BDF01C" w:rsidR="003349BF" w:rsidRPr="004F5A9D" w:rsidRDefault="003349BF" w:rsidP="0066729B">
            <w:pPr>
              <w:spacing w:line="240" w:lineRule="auto"/>
              <w:ind w:left="-272" w:firstLine="141"/>
              <w:jc w:val="right"/>
              <w:rPr>
                <w:rFonts w:ascii="Times New Roman" w:hAnsi="Times New Roman"/>
                <w:b/>
                <w:bCs/>
                <w:sz w:val="20"/>
                <w:szCs w:val="20"/>
              </w:rPr>
            </w:pPr>
            <w:r w:rsidRPr="004F5A9D">
              <w:rPr>
                <w:b/>
                <w:bCs/>
                <w:sz w:val="20"/>
                <w:szCs w:val="20"/>
              </w:rPr>
              <w:t>0</w:t>
            </w:r>
          </w:p>
        </w:tc>
        <w:tc>
          <w:tcPr>
            <w:tcW w:w="570" w:type="dxa"/>
            <w:shd w:val="clear" w:color="auto" w:fill="FFFFFF"/>
            <w:vAlign w:val="center"/>
          </w:tcPr>
          <w:p w14:paraId="4F409280" w14:textId="5CB15017" w:rsidR="003349BF" w:rsidRPr="004F5A9D" w:rsidRDefault="003349BF" w:rsidP="0066729B">
            <w:pPr>
              <w:spacing w:line="240" w:lineRule="auto"/>
              <w:ind w:left="-272" w:firstLine="141"/>
              <w:jc w:val="right"/>
              <w:rPr>
                <w:rFonts w:ascii="Times New Roman" w:hAnsi="Times New Roman"/>
                <w:b/>
                <w:bCs/>
                <w:sz w:val="20"/>
                <w:szCs w:val="20"/>
              </w:rPr>
            </w:pPr>
            <w:r w:rsidRPr="004F5A9D">
              <w:rPr>
                <w:b/>
                <w:bCs/>
                <w:sz w:val="20"/>
                <w:szCs w:val="20"/>
              </w:rPr>
              <w:t>0</w:t>
            </w:r>
          </w:p>
        </w:tc>
        <w:tc>
          <w:tcPr>
            <w:tcW w:w="570" w:type="dxa"/>
            <w:gridSpan w:val="4"/>
            <w:shd w:val="clear" w:color="auto" w:fill="FFFFFF"/>
            <w:vAlign w:val="center"/>
          </w:tcPr>
          <w:p w14:paraId="7B411136" w14:textId="195A6E1B" w:rsidR="003349BF" w:rsidRPr="004F5A9D" w:rsidRDefault="003349BF" w:rsidP="0066729B">
            <w:pPr>
              <w:spacing w:line="240" w:lineRule="auto"/>
              <w:ind w:left="-272" w:firstLine="141"/>
              <w:jc w:val="right"/>
              <w:rPr>
                <w:rFonts w:ascii="Times New Roman" w:hAnsi="Times New Roman"/>
                <w:b/>
                <w:bCs/>
                <w:sz w:val="20"/>
                <w:szCs w:val="20"/>
              </w:rPr>
            </w:pPr>
            <w:r w:rsidRPr="004F5A9D">
              <w:rPr>
                <w:b/>
                <w:bCs/>
                <w:sz w:val="20"/>
                <w:szCs w:val="20"/>
              </w:rPr>
              <w:t>0</w:t>
            </w:r>
          </w:p>
        </w:tc>
        <w:tc>
          <w:tcPr>
            <w:tcW w:w="569" w:type="dxa"/>
            <w:gridSpan w:val="3"/>
            <w:shd w:val="clear" w:color="auto" w:fill="FFFFFF"/>
            <w:vAlign w:val="center"/>
          </w:tcPr>
          <w:p w14:paraId="0A3E4739" w14:textId="3D3EBCED" w:rsidR="003349BF" w:rsidRPr="004F5A9D" w:rsidRDefault="003349BF" w:rsidP="0066729B">
            <w:pPr>
              <w:spacing w:line="240" w:lineRule="auto"/>
              <w:ind w:left="-272" w:firstLine="141"/>
              <w:jc w:val="right"/>
              <w:rPr>
                <w:rFonts w:ascii="Times New Roman" w:hAnsi="Times New Roman"/>
                <w:b/>
                <w:bCs/>
                <w:sz w:val="20"/>
                <w:szCs w:val="20"/>
              </w:rPr>
            </w:pPr>
            <w:r w:rsidRPr="004F5A9D">
              <w:rPr>
                <w:b/>
                <w:bCs/>
                <w:sz w:val="20"/>
                <w:szCs w:val="20"/>
              </w:rPr>
              <w:t>0</w:t>
            </w:r>
          </w:p>
        </w:tc>
        <w:tc>
          <w:tcPr>
            <w:tcW w:w="570" w:type="dxa"/>
            <w:shd w:val="clear" w:color="auto" w:fill="FFFFFF"/>
            <w:vAlign w:val="center"/>
          </w:tcPr>
          <w:p w14:paraId="123EF9E7" w14:textId="2AE2B600" w:rsidR="003349BF" w:rsidRPr="004F5A9D" w:rsidRDefault="003349BF" w:rsidP="0066729B">
            <w:pPr>
              <w:spacing w:line="240" w:lineRule="auto"/>
              <w:ind w:left="-272" w:firstLine="141"/>
              <w:jc w:val="right"/>
              <w:rPr>
                <w:rFonts w:ascii="Times New Roman" w:hAnsi="Times New Roman"/>
                <w:b/>
                <w:bCs/>
                <w:sz w:val="20"/>
                <w:szCs w:val="20"/>
              </w:rPr>
            </w:pPr>
            <w:r w:rsidRPr="004F5A9D">
              <w:rPr>
                <w:b/>
                <w:bCs/>
                <w:sz w:val="20"/>
                <w:szCs w:val="20"/>
              </w:rPr>
              <w:t>0</w:t>
            </w:r>
          </w:p>
        </w:tc>
        <w:tc>
          <w:tcPr>
            <w:tcW w:w="570" w:type="dxa"/>
            <w:gridSpan w:val="2"/>
            <w:shd w:val="clear" w:color="auto" w:fill="FFFFFF"/>
            <w:vAlign w:val="center"/>
          </w:tcPr>
          <w:p w14:paraId="1505BC22" w14:textId="566CF909" w:rsidR="003349BF" w:rsidRPr="004F5A9D" w:rsidRDefault="003349BF" w:rsidP="0066729B">
            <w:pPr>
              <w:spacing w:line="240" w:lineRule="auto"/>
              <w:ind w:left="-272" w:firstLine="141"/>
              <w:jc w:val="right"/>
              <w:rPr>
                <w:rFonts w:ascii="Times New Roman" w:hAnsi="Times New Roman"/>
                <w:b/>
                <w:bCs/>
                <w:sz w:val="20"/>
                <w:szCs w:val="20"/>
              </w:rPr>
            </w:pPr>
            <w:r w:rsidRPr="004F5A9D">
              <w:rPr>
                <w:b/>
                <w:bCs/>
                <w:sz w:val="20"/>
                <w:szCs w:val="20"/>
              </w:rPr>
              <w:t>0</w:t>
            </w:r>
          </w:p>
        </w:tc>
        <w:tc>
          <w:tcPr>
            <w:tcW w:w="570" w:type="dxa"/>
            <w:shd w:val="clear" w:color="auto" w:fill="FFFFFF"/>
            <w:vAlign w:val="center"/>
          </w:tcPr>
          <w:p w14:paraId="180F1415" w14:textId="2D9AC2B6" w:rsidR="003349BF" w:rsidRPr="004F5A9D" w:rsidRDefault="003349BF" w:rsidP="0066729B">
            <w:pPr>
              <w:spacing w:line="240" w:lineRule="auto"/>
              <w:ind w:left="-272" w:firstLine="141"/>
              <w:jc w:val="right"/>
              <w:rPr>
                <w:rFonts w:ascii="Times New Roman" w:hAnsi="Times New Roman"/>
                <w:b/>
                <w:bCs/>
                <w:sz w:val="20"/>
                <w:szCs w:val="20"/>
              </w:rPr>
            </w:pPr>
            <w:r w:rsidRPr="004F5A9D">
              <w:rPr>
                <w:b/>
                <w:bCs/>
                <w:sz w:val="20"/>
                <w:szCs w:val="20"/>
              </w:rPr>
              <w:t>0</w:t>
            </w:r>
          </w:p>
        </w:tc>
        <w:tc>
          <w:tcPr>
            <w:tcW w:w="1547" w:type="dxa"/>
            <w:gridSpan w:val="3"/>
            <w:shd w:val="clear" w:color="auto" w:fill="FFFFFF"/>
            <w:vAlign w:val="center"/>
          </w:tcPr>
          <w:p w14:paraId="15823828" w14:textId="252C7DEF" w:rsidR="003349BF" w:rsidRPr="004F5A9D" w:rsidRDefault="003349BF" w:rsidP="0066729B">
            <w:pPr>
              <w:spacing w:line="240" w:lineRule="auto"/>
              <w:ind w:left="-272" w:firstLine="141"/>
              <w:jc w:val="right"/>
              <w:rPr>
                <w:rFonts w:ascii="Times New Roman" w:hAnsi="Times New Roman"/>
                <w:b/>
                <w:bCs/>
                <w:sz w:val="20"/>
                <w:szCs w:val="20"/>
              </w:rPr>
            </w:pPr>
            <w:r w:rsidRPr="004F5A9D">
              <w:rPr>
                <w:b/>
                <w:bCs/>
                <w:sz w:val="20"/>
                <w:szCs w:val="20"/>
              </w:rPr>
              <w:t>356</w:t>
            </w:r>
          </w:p>
        </w:tc>
      </w:tr>
      <w:tr w:rsidR="003349BF" w:rsidRPr="0050413F" w14:paraId="21597D3D" w14:textId="77777777" w:rsidTr="0066729B">
        <w:trPr>
          <w:trHeight w:val="330"/>
        </w:trPr>
        <w:tc>
          <w:tcPr>
            <w:tcW w:w="3133" w:type="dxa"/>
            <w:gridSpan w:val="3"/>
            <w:shd w:val="clear" w:color="auto" w:fill="FFFFFF"/>
            <w:vAlign w:val="center"/>
          </w:tcPr>
          <w:p w14:paraId="07EAA89B" w14:textId="77777777" w:rsidR="003349BF" w:rsidRPr="0050413F" w:rsidRDefault="003349BF" w:rsidP="003349BF">
            <w:pPr>
              <w:spacing w:line="240" w:lineRule="auto"/>
              <w:rPr>
                <w:rFonts w:ascii="Times New Roman" w:hAnsi="Times New Roman"/>
                <w:color w:val="000000"/>
              </w:rPr>
            </w:pPr>
            <w:r w:rsidRPr="0050413F">
              <w:rPr>
                <w:rFonts w:ascii="Times New Roman" w:hAnsi="Times New Roman"/>
                <w:color w:val="000000"/>
              </w:rPr>
              <w:t>budżet państwa</w:t>
            </w:r>
          </w:p>
        </w:tc>
        <w:tc>
          <w:tcPr>
            <w:tcW w:w="569" w:type="dxa"/>
            <w:gridSpan w:val="3"/>
            <w:shd w:val="clear" w:color="auto" w:fill="FFFFFF"/>
            <w:vAlign w:val="center"/>
          </w:tcPr>
          <w:p w14:paraId="5052FE53" w14:textId="7A2AFEBD" w:rsidR="003349BF" w:rsidRPr="004F5A9D" w:rsidRDefault="003349BF" w:rsidP="0066729B">
            <w:pPr>
              <w:spacing w:line="240" w:lineRule="auto"/>
              <w:ind w:left="-272" w:firstLine="141"/>
              <w:jc w:val="right"/>
              <w:rPr>
                <w:rFonts w:ascii="Times New Roman" w:hAnsi="Times New Roman"/>
                <w:sz w:val="20"/>
                <w:szCs w:val="20"/>
              </w:rPr>
            </w:pPr>
            <w:r w:rsidRPr="004F5A9D">
              <w:rPr>
                <w:sz w:val="20"/>
                <w:szCs w:val="20"/>
              </w:rPr>
              <w:t>9</w:t>
            </w:r>
          </w:p>
        </w:tc>
        <w:tc>
          <w:tcPr>
            <w:tcW w:w="570" w:type="dxa"/>
            <w:gridSpan w:val="2"/>
            <w:shd w:val="clear" w:color="auto" w:fill="FFFFFF"/>
            <w:vAlign w:val="center"/>
          </w:tcPr>
          <w:p w14:paraId="1AF3A2F3" w14:textId="470023E5" w:rsidR="003349BF" w:rsidRPr="004F5A9D" w:rsidRDefault="003349BF" w:rsidP="0066729B">
            <w:pPr>
              <w:spacing w:line="240" w:lineRule="auto"/>
              <w:ind w:left="-272" w:firstLine="141"/>
              <w:jc w:val="right"/>
              <w:rPr>
                <w:rFonts w:ascii="Times New Roman" w:hAnsi="Times New Roman"/>
                <w:sz w:val="20"/>
                <w:szCs w:val="20"/>
              </w:rPr>
            </w:pPr>
            <w:r w:rsidRPr="004F5A9D">
              <w:rPr>
                <w:sz w:val="20"/>
                <w:szCs w:val="20"/>
              </w:rPr>
              <w:t>9</w:t>
            </w:r>
          </w:p>
        </w:tc>
        <w:tc>
          <w:tcPr>
            <w:tcW w:w="570" w:type="dxa"/>
            <w:gridSpan w:val="3"/>
            <w:shd w:val="clear" w:color="auto" w:fill="FFFFFF"/>
            <w:vAlign w:val="center"/>
          </w:tcPr>
          <w:p w14:paraId="0FBF143B" w14:textId="6FFB504B" w:rsidR="003349BF" w:rsidRPr="004F5A9D" w:rsidRDefault="003349BF" w:rsidP="0066729B">
            <w:pPr>
              <w:spacing w:line="240" w:lineRule="auto"/>
              <w:ind w:left="-272" w:firstLine="141"/>
              <w:jc w:val="right"/>
              <w:rPr>
                <w:rFonts w:ascii="Times New Roman" w:hAnsi="Times New Roman"/>
                <w:sz w:val="20"/>
                <w:szCs w:val="20"/>
              </w:rPr>
            </w:pPr>
            <w:r w:rsidRPr="004F5A9D">
              <w:rPr>
                <w:sz w:val="20"/>
                <w:szCs w:val="20"/>
              </w:rPr>
              <w:t>9</w:t>
            </w:r>
          </w:p>
        </w:tc>
        <w:tc>
          <w:tcPr>
            <w:tcW w:w="569" w:type="dxa"/>
            <w:gridSpan w:val="2"/>
            <w:shd w:val="clear" w:color="auto" w:fill="FFFFFF"/>
            <w:vAlign w:val="center"/>
          </w:tcPr>
          <w:p w14:paraId="3077C7A4" w14:textId="30ACD9ED" w:rsidR="003349BF" w:rsidRPr="004F5A9D" w:rsidRDefault="003349BF" w:rsidP="0066729B">
            <w:pPr>
              <w:spacing w:line="240" w:lineRule="auto"/>
              <w:ind w:left="-272" w:firstLine="141"/>
              <w:jc w:val="right"/>
              <w:rPr>
                <w:rFonts w:ascii="Times New Roman" w:hAnsi="Times New Roman"/>
                <w:sz w:val="20"/>
                <w:szCs w:val="20"/>
              </w:rPr>
            </w:pPr>
            <w:r w:rsidRPr="004F5A9D">
              <w:rPr>
                <w:sz w:val="20"/>
                <w:szCs w:val="20"/>
              </w:rPr>
              <w:t>9</w:t>
            </w:r>
          </w:p>
        </w:tc>
        <w:tc>
          <w:tcPr>
            <w:tcW w:w="570" w:type="dxa"/>
            <w:gridSpan w:val="2"/>
            <w:shd w:val="clear" w:color="auto" w:fill="FFFFFF"/>
            <w:vAlign w:val="center"/>
          </w:tcPr>
          <w:p w14:paraId="7E32BEDC" w14:textId="77777777" w:rsidR="003349BF" w:rsidRPr="004F5A9D" w:rsidRDefault="003349BF" w:rsidP="0066729B">
            <w:pPr>
              <w:spacing w:line="240" w:lineRule="auto"/>
              <w:ind w:left="-272" w:firstLine="141"/>
              <w:jc w:val="right"/>
              <w:rPr>
                <w:rFonts w:ascii="Times New Roman" w:hAnsi="Times New Roman"/>
                <w:sz w:val="20"/>
                <w:szCs w:val="20"/>
              </w:rPr>
            </w:pPr>
          </w:p>
        </w:tc>
        <w:tc>
          <w:tcPr>
            <w:tcW w:w="570" w:type="dxa"/>
            <w:shd w:val="clear" w:color="auto" w:fill="FFFFFF"/>
            <w:vAlign w:val="center"/>
          </w:tcPr>
          <w:p w14:paraId="7BD0E76B" w14:textId="77777777" w:rsidR="003349BF" w:rsidRPr="004F5A9D" w:rsidRDefault="003349BF" w:rsidP="0066729B">
            <w:pPr>
              <w:spacing w:line="240" w:lineRule="auto"/>
              <w:ind w:left="-272" w:firstLine="141"/>
              <w:jc w:val="right"/>
              <w:rPr>
                <w:rFonts w:ascii="Times New Roman" w:hAnsi="Times New Roman"/>
                <w:sz w:val="20"/>
                <w:szCs w:val="20"/>
              </w:rPr>
            </w:pPr>
          </w:p>
        </w:tc>
        <w:tc>
          <w:tcPr>
            <w:tcW w:w="570" w:type="dxa"/>
            <w:gridSpan w:val="4"/>
            <w:shd w:val="clear" w:color="auto" w:fill="FFFFFF"/>
            <w:vAlign w:val="center"/>
          </w:tcPr>
          <w:p w14:paraId="184AEA7C" w14:textId="77777777" w:rsidR="003349BF" w:rsidRPr="004F5A9D" w:rsidRDefault="003349BF" w:rsidP="0066729B">
            <w:pPr>
              <w:spacing w:line="240" w:lineRule="auto"/>
              <w:ind w:left="-272" w:firstLine="141"/>
              <w:jc w:val="right"/>
              <w:rPr>
                <w:rFonts w:ascii="Times New Roman" w:hAnsi="Times New Roman"/>
                <w:sz w:val="20"/>
                <w:szCs w:val="20"/>
              </w:rPr>
            </w:pPr>
          </w:p>
        </w:tc>
        <w:tc>
          <w:tcPr>
            <w:tcW w:w="569" w:type="dxa"/>
            <w:gridSpan w:val="3"/>
            <w:shd w:val="clear" w:color="auto" w:fill="FFFFFF"/>
            <w:vAlign w:val="center"/>
          </w:tcPr>
          <w:p w14:paraId="0D125F35" w14:textId="77777777" w:rsidR="003349BF" w:rsidRPr="004F5A9D" w:rsidRDefault="003349BF" w:rsidP="0066729B">
            <w:pPr>
              <w:spacing w:line="240" w:lineRule="auto"/>
              <w:ind w:left="-272" w:firstLine="141"/>
              <w:jc w:val="right"/>
              <w:rPr>
                <w:rFonts w:ascii="Times New Roman" w:hAnsi="Times New Roman"/>
                <w:sz w:val="20"/>
                <w:szCs w:val="20"/>
              </w:rPr>
            </w:pPr>
          </w:p>
        </w:tc>
        <w:tc>
          <w:tcPr>
            <w:tcW w:w="570" w:type="dxa"/>
            <w:shd w:val="clear" w:color="auto" w:fill="FFFFFF"/>
            <w:vAlign w:val="center"/>
          </w:tcPr>
          <w:p w14:paraId="14DB24A9" w14:textId="77777777" w:rsidR="003349BF" w:rsidRPr="004F5A9D" w:rsidRDefault="003349BF" w:rsidP="0066729B">
            <w:pPr>
              <w:spacing w:line="240" w:lineRule="auto"/>
              <w:ind w:left="-272" w:firstLine="141"/>
              <w:jc w:val="right"/>
              <w:rPr>
                <w:rFonts w:ascii="Times New Roman" w:hAnsi="Times New Roman"/>
                <w:sz w:val="20"/>
                <w:szCs w:val="20"/>
              </w:rPr>
            </w:pPr>
          </w:p>
        </w:tc>
        <w:tc>
          <w:tcPr>
            <w:tcW w:w="570" w:type="dxa"/>
            <w:gridSpan w:val="2"/>
            <w:shd w:val="clear" w:color="auto" w:fill="FFFFFF"/>
            <w:vAlign w:val="center"/>
          </w:tcPr>
          <w:p w14:paraId="361A27E9" w14:textId="77777777" w:rsidR="003349BF" w:rsidRPr="004F5A9D" w:rsidRDefault="003349BF" w:rsidP="0066729B">
            <w:pPr>
              <w:spacing w:line="240" w:lineRule="auto"/>
              <w:ind w:left="-272" w:firstLine="141"/>
              <w:jc w:val="right"/>
              <w:rPr>
                <w:rFonts w:ascii="Times New Roman" w:hAnsi="Times New Roman"/>
                <w:sz w:val="20"/>
                <w:szCs w:val="20"/>
              </w:rPr>
            </w:pPr>
          </w:p>
        </w:tc>
        <w:tc>
          <w:tcPr>
            <w:tcW w:w="570" w:type="dxa"/>
            <w:shd w:val="clear" w:color="auto" w:fill="FFFFFF"/>
            <w:vAlign w:val="center"/>
          </w:tcPr>
          <w:p w14:paraId="2479D82F" w14:textId="77777777" w:rsidR="003349BF" w:rsidRPr="004F5A9D" w:rsidRDefault="003349BF" w:rsidP="0066729B">
            <w:pPr>
              <w:spacing w:line="240" w:lineRule="auto"/>
              <w:ind w:left="-272" w:firstLine="141"/>
              <w:jc w:val="right"/>
              <w:rPr>
                <w:rFonts w:ascii="Times New Roman" w:hAnsi="Times New Roman"/>
                <w:sz w:val="20"/>
                <w:szCs w:val="20"/>
              </w:rPr>
            </w:pPr>
          </w:p>
        </w:tc>
        <w:tc>
          <w:tcPr>
            <w:tcW w:w="1547" w:type="dxa"/>
            <w:gridSpan w:val="3"/>
            <w:shd w:val="clear" w:color="auto" w:fill="FFFFFF"/>
            <w:vAlign w:val="center"/>
          </w:tcPr>
          <w:p w14:paraId="716741F0" w14:textId="605D0252" w:rsidR="003349BF" w:rsidRPr="004F5A9D" w:rsidRDefault="003349BF" w:rsidP="0066729B">
            <w:pPr>
              <w:spacing w:line="240" w:lineRule="auto"/>
              <w:ind w:left="-272" w:firstLine="141"/>
              <w:jc w:val="right"/>
              <w:rPr>
                <w:rFonts w:ascii="Times New Roman" w:hAnsi="Times New Roman"/>
                <w:sz w:val="20"/>
                <w:szCs w:val="20"/>
              </w:rPr>
            </w:pPr>
            <w:r w:rsidRPr="004F5A9D">
              <w:rPr>
                <w:sz w:val="20"/>
                <w:szCs w:val="20"/>
              </w:rPr>
              <w:t>36</w:t>
            </w:r>
          </w:p>
        </w:tc>
      </w:tr>
      <w:tr w:rsidR="00557930" w:rsidRPr="0050413F" w14:paraId="3B38B9D4" w14:textId="77777777" w:rsidTr="0066729B">
        <w:trPr>
          <w:trHeight w:val="344"/>
        </w:trPr>
        <w:tc>
          <w:tcPr>
            <w:tcW w:w="3133" w:type="dxa"/>
            <w:gridSpan w:val="3"/>
            <w:shd w:val="clear" w:color="auto" w:fill="FFFFFF"/>
            <w:vAlign w:val="center"/>
          </w:tcPr>
          <w:p w14:paraId="01265A1E" w14:textId="77777777" w:rsidR="00557930" w:rsidRPr="0050413F" w:rsidRDefault="00557930" w:rsidP="00557930">
            <w:pPr>
              <w:spacing w:line="240" w:lineRule="auto"/>
              <w:rPr>
                <w:rFonts w:ascii="Times New Roman" w:hAnsi="Times New Roman"/>
                <w:color w:val="000000"/>
              </w:rPr>
            </w:pPr>
            <w:r w:rsidRPr="0050413F">
              <w:rPr>
                <w:rFonts w:ascii="Times New Roman" w:hAnsi="Times New Roman"/>
                <w:color w:val="000000"/>
              </w:rPr>
              <w:t>Urząd Dozoru Technicznego</w:t>
            </w:r>
          </w:p>
        </w:tc>
        <w:tc>
          <w:tcPr>
            <w:tcW w:w="569" w:type="dxa"/>
            <w:gridSpan w:val="3"/>
            <w:shd w:val="clear" w:color="auto" w:fill="FFFFFF"/>
            <w:vAlign w:val="center"/>
          </w:tcPr>
          <w:p w14:paraId="375BD2EB" w14:textId="36E80E0B" w:rsidR="00557930" w:rsidRPr="004F5A9D" w:rsidRDefault="00557930" w:rsidP="0066729B">
            <w:pPr>
              <w:spacing w:line="240" w:lineRule="auto"/>
              <w:ind w:left="-272" w:firstLine="141"/>
              <w:jc w:val="right"/>
              <w:rPr>
                <w:sz w:val="20"/>
                <w:szCs w:val="20"/>
              </w:rPr>
            </w:pPr>
            <w:r w:rsidRPr="004F5A9D">
              <w:rPr>
                <w:sz w:val="20"/>
                <w:szCs w:val="20"/>
              </w:rPr>
              <w:t>0,3</w:t>
            </w:r>
          </w:p>
        </w:tc>
        <w:tc>
          <w:tcPr>
            <w:tcW w:w="570" w:type="dxa"/>
            <w:gridSpan w:val="2"/>
            <w:shd w:val="clear" w:color="auto" w:fill="FFFFFF"/>
            <w:vAlign w:val="center"/>
          </w:tcPr>
          <w:p w14:paraId="58B746AE" w14:textId="7F6F9C20" w:rsidR="00557930" w:rsidRPr="004F5A9D" w:rsidRDefault="00557930" w:rsidP="0066729B">
            <w:pPr>
              <w:spacing w:line="240" w:lineRule="auto"/>
              <w:ind w:left="-272" w:firstLine="141"/>
              <w:jc w:val="right"/>
              <w:rPr>
                <w:sz w:val="20"/>
                <w:szCs w:val="20"/>
              </w:rPr>
            </w:pPr>
            <w:r w:rsidRPr="004F5A9D">
              <w:rPr>
                <w:sz w:val="20"/>
                <w:szCs w:val="20"/>
              </w:rPr>
              <w:t>0,3</w:t>
            </w:r>
          </w:p>
        </w:tc>
        <w:tc>
          <w:tcPr>
            <w:tcW w:w="570" w:type="dxa"/>
            <w:gridSpan w:val="3"/>
            <w:shd w:val="clear" w:color="auto" w:fill="FFFFFF"/>
            <w:vAlign w:val="center"/>
          </w:tcPr>
          <w:p w14:paraId="0A1F6731" w14:textId="77C5798C" w:rsidR="00557930" w:rsidRPr="004F5A9D" w:rsidRDefault="00557930" w:rsidP="0066729B">
            <w:pPr>
              <w:spacing w:line="240" w:lineRule="auto"/>
              <w:ind w:left="-272" w:firstLine="141"/>
              <w:jc w:val="right"/>
              <w:rPr>
                <w:sz w:val="20"/>
                <w:szCs w:val="20"/>
              </w:rPr>
            </w:pPr>
            <w:r w:rsidRPr="004F5A9D">
              <w:rPr>
                <w:sz w:val="20"/>
                <w:szCs w:val="20"/>
              </w:rPr>
              <w:t>0,3</w:t>
            </w:r>
          </w:p>
        </w:tc>
        <w:tc>
          <w:tcPr>
            <w:tcW w:w="569" w:type="dxa"/>
            <w:gridSpan w:val="2"/>
            <w:shd w:val="clear" w:color="auto" w:fill="FFFFFF"/>
            <w:vAlign w:val="center"/>
          </w:tcPr>
          <w:p w14:paraId="71C67E71" w14:textId="6DD4EEDC" w:rsidR="00557930" w:rsidRPr="004F5A9D" w:rsidRDefault="00557930" w:rsidP="0066729B">
            <w:pPr>
              <w:spacing w:line="240" w:lineRule="auto"/>
              <w:ind w:left="-272" w:firstLine="141"/>
              <w:jc w:val="right"/>
              <w:rPr>
                <w:sz w:val="20"/>
                <w:szCs w:val="20"/>
              </w:rPr>
            </w:pPr>
            <w:r w:rsidRPr="004F5A9D">
              <w:rPr>
                <w:sz w:val="20"/>
                <w:szCs w:val="20"/>
              </w:rPr>
              <w:t>0,3</w:t>
            </w:r>
          </w:p>
        </w:tc>
        <w:tc>
          <w:tcPr>
            <w:tcW w:w="570" w:type="dxa"/>
            <w:gridSpan w:val="2"/>
            <w:shd w:val="clear" w:color="auto" w:fill="FFFFFF"/>
            <w:vAlign w:val="center"/>
          </w:tcPr>
          <w:p w14:paraId="66EDA55E" w14:textId="1CDC69A2" w:rsidR="00557930" w:rsidRPr="004F5A9D" w:rsidRDefault="00557930" w:rsidP="0066729B">
            <w:pPr>
              <w:spacing w:line="240" w:lineRule="auto"/>
              <w:ind w:left="-272" w:firstLine="141"/>
              <w:jc w:val="right"/>
              <w:rPr>
                <w:rFonts w:ascii="Times New Roman" w:hAnsi="Times New Roman"/>
                <w:sz w:val="20"/>
                <w:szCs w:val="20"/>
              </w:rPr>
            </w:pPr>
          </w:p>
        </w:tc>
        <w:tc>
          <w:tcPr>
            <w:tcW w:w="570" w:type="dxa"/>
            <w:shd w:val="clear" w:color="auto" w:fill="FFFFFF"/>
            <w:vAlign w:val="center"/>
          </w:tcPr>
          <w:p w14:paraId="45EDEBC7" w14:textId="4ECD1B21" w:rsidR="00557930" w:rsidRPr="004F5A9D" w:rsidRDefault="00557930" w:rsidP="0066729B">
            <w:pPr>
              <w:spacing w:line="240" w:lineRule="auto"/>
              <w:ind w:left="-272" w:firstLine="141"/>
              <w:jc w:val="right"/>
              <w:rPr>
                <w:rFonts w:ascii="Times New Roman" w:hAnsi="Times New Roman"/>
                <w:sz w:val="20"/>
                <w:szCs w:val="20"/>
              </w:rPr>
            </w:pPr>
          </w:p>
        </w:tc>
        <w:tc>
          <w:tcPr>
            <w:tcW w:w="570" w:type="dxa"/>
            <w:gridSpan w:val="4"/>
            <w:shd w:val="clear" w:color="auto" w:fill="FFFFFF"/>
            <w:vAlign w:val="center"/>
          </w:tcPr>
          <w:p w14:paraId="537B08F5" w14:textId="2D96B26E" w:rsidR="00557930" w:rsidRPr="004F5A9D" w:rsidRDefault="00557930" w:rsidP="0066729B">
            <w:pPr>
              <w:spacing w:line="240" w:lineRule="auto"/>
              <w:ind w:left="-272" w:firstLine="141"/>
              <w:jc w:val="right"/>
              <w:rPr>
                <w:rFonts w:ascii="Times New Roman" w:hAnsi="Times New Roman"/>
                <w:sz w:val="20"/>
                <w:szCs w:val="20"/>
              </w:rPr>
            </w:pPr>
          </w:p>
        </w:tc>
        <w:tc>
          <w:tcPr>
            <w:tcW w:w="569" w:type="dxa"/>
            <w:gridSpan w:val="3"/>
            <w:shd w:val="clear" w:color="auto" w:fill="FFFFFF"/>
            <w:vAlign w:val="center"/>
          </w:tcPr>
          <w:p w14:paraId="32138CC6" w14:textId="0947FFF4" w:rsidR="00557930" w:rsidRPr="004F5A9D" w:rsidRDefault="00557930" w:rsidP="0066729B">
            <w:pPr>
              <w:spacing w:line="240" w:lineRule="auto"/>
              <w:ind w:left="-272" w:firstLine="141"/>
              <w:jc w:val="right"/>
              <w:rPr>
                <w:rFonts w:ascii="Times New Roman" w:hAnsi="Times New Roman"/>
                <w:sz w:val="20"/>
                <w:szCs w:val="20"/>
              </w:rPr>
            </w:pPr>
          </w:p>
        </w:tc>
        <w:tc>
          <w:tcPr>
            <w:tcW w:w="570" w:type="dxa"/>
            <w:shd w:val="clear" w:color="auto" w:fill="FFFFFF"/>
            <w:vAlign w:val="center"/>
          </w:tcPr>
          <w:p w14:paraId="330C65BE" w14:textId="2A32ECE3" w:rsidR="00557930" w:rsidRPr="004F5A9D" w:rsidRDefault="00557930" w:rsidP="0066729B">
            <w:pPr>
              <w:spacing w:line="240" w:lineRule="auto"/>
              <w:ind w:left="-272" w:firstLine="141"/>
              <w:jc w:val="right"/>
              <w:rPr>
                <w:rFonts w:ascii="Times New Roman" w:hAnsi="Times New Roman"/>
                <w:sz w:val="20"/>
                <w:szCs w:val="20"/>
              </w:rPr>
            </w:pPr>
          </w:p>
        </w:tc>
        <w:tc>
          <w:tcPr>
            <w:tcW w:w="570" w:type="dxa"/>
            <w:gridSpan w:val="2"/>
            <w:shd w:val="clear" w:color="auto" w:fill="FFFFFF"/>
            <w:vAlign w:val="center"/>
          </w:tcPr>
          <w:p w14:paraId="7DA7ED61" w14:textId="7EB6919C" w:rsidR="00557930" w:rsidRPr="004F5A9D" w:rsidRDefault="00557930" w:rsidP="0066729B">
            <w:pPr>
              <w:spacing w:line="240" w:lineRule="auto"/>
              <w:ind w:left="-272" w:firstLine="141"/>
              <w:jc w:val="right"/>
              <w:rPr>
                <w:rFonts w:ascii="Times New Roman" w:hAnsi="Times New Roman"/>
                <w:sz w:val="20"/>
                <w:szCs w:val="20"/>
              </w:rPr>
            </w:pPr>
          </w:p>
        </w:tc>
        <w:tc>
          <w:tcPr>
            <w:tcW w:w="570" w:type="dxa"/>
            <w:shd w:val="clear" w:color="auto" w:fill="FFFFFF"/>
            <w:vAlign w:val="center"/>
          </w:tcPr>
          <w:p w14:paraId="2E4AADC2" w14:textId="3CFD0303" w:rsidR="00557930" w:rsidRPr="004F5A9D" w:rsidRDefault="00557930" w:rsidP="0066729B">
            <w:pPr>
              <w:spacing w:line="240" w:lineRule="auto"/>
              <w:ind w:left="-272" w:firstLine="141"/>
              <w:jc w:val="right"/>
              <w:rPr>
                <w:rFonts w:ascii="Times New Roman" w:hAnsi="Times New Roman"/>
                <w:sz w:val="20"/>
                <w:szCs w:val="20"/>
              </w:rPr>
            </w:pPr>
          </w:p>
        </w:tc>
        <w:tc>
          <w:tcPr>
            <w:tcW w:w="1547" w:type="dxa"/>
            <w:gridSpan w:val="3"/>
            <w:shd w:val="clear" w:color="auto" w:fill="FFFFFF"/>
            <w:vAlign w:val="center"/>
          </w:tcPr>
          <w:p w14:paraId="01F8A759" w14:textId="51694EF3" w:rsidR="00557930" w:rsidRPr="004F5A9D" w:rsidRDefault="00557930" w:rsidP="0066729B">
            <w:pPr>
              <w:spacing w:line="240" w:lineRule="auto"/>
              <w:ind w:left="-272" w:firstLine="141"/>
              <w:jc w:val="right"/>
              <w:rPr>
                <w:rFonts w:ascii="Times New Roman" w:hAnsi="Times New Roman"/>
                <w:sz w:val="20"/>
                <w:szCs w:val="20"/>
              </w:rPr>
            </w:pPr>
            <w:r w:rsidRPr="004F5A9D">
              <w:rPr>
                <w:sz w:val="20"/>
                <w:szCs w:val="20"/>
              </w:rPr>
              <w:t>1</w:t>
            </w:r>
            <w:r w:rsidRPr="0066729B">
              <w:rPr>
                <w:sz w:val="20"/>
                <w:szCs w:val="20"/>
              </w:rPr>
              <w:t>,2</w:t>
            </w:r>
          </w:p>
        </w:tc>
      </w:tr>
      <w:tr w:rsidR="003349BF" w:rsidRPr="0050413F" w14:paraId="24FB9EE9" w14:textId="77777777" w:rsidTr="0066729B">
        <w:trPr>
          <w:trHeight w:val="351"/>
        </w:trPr>
        <w:tc>
          <w:tcPr>
            <w:tcW w:w="3133" w:type="dxa"/>
            <w:gridSpan w:val="3"/>
            <w:shd w:val="clear" w:color="auto" w:fill="FFFFFF"/>
            <w:vAlign w:val="center"/>
          </w:tcPr>
          <w:p w14:paraId="6EDDE25E" w14:textId="27E8E75B" w:rsidR="003349BF" w:rsidRPr="0050413F" w:rsidRDefault="00557930" w:rsidP="0066729B">
            <w:pPr>
              <w:spacing w:line="240" w:lineRule="auto"/>
              <w:rPr>
                <w:rFonts w:ascii="Times New Roman" w:hAnsi="Times New Roman"/>
                <w:color w:val="000000"/>
              </w:rPr>
            </w:pPr>
            <w:r>
              <w:rPr>
                <w:rFonts w:ascii="Times New Roman" w:hAnsi="Times New Roman"/>
                <w:color w:val="000000"/>
              </w:rPr>
              <w:t>jednostki samorządu terytorialnego</w:t>
            </w:r>
          </w:p>
        </w:tc>
        <w:tc>
          <w:tcPr>
            <w:tcW w:w="569" w:type="dxa"/>
            <w:gridSpan w:val="3"/>
            <w:shd w:val="clear" w:color="auto" w:fill="FFFFFF"/>
            <w:vAlign w:val="center"/>
          </w:tcPr>
          <w:p w14:paraId="5142147A" w14:textId="12084024" w:rsidR="003349BF" w:rsidRPr="004F5A9D" w:rsidRDefault="003349BF" w:rsidP="0066729B">
            <w:pPr>
              <w:spacing w:line="240" w:lineRule="auto"/>
              <w:ind w:left="-272" w:firstLine="141"/>
              <w:jc w:val="right"/>
              <w:rPr>
                <w:rFonts w:ascii="Times New Roman" w:hAnsi="Times New Roman"/>
                <w:sz w:val="20"/>
                <w:szCs w:val="20"/>
              </w:rPr>
            </w:pPr>
            <w:r w:rsidRPr="004F5A9D">
              <w:rPr>
                <w:sz w:val="20"/>
                <w:szCs w:val="20"/>
              </w:rPr>
              <w:t>80</w:t>
            </w:r>
          </w:p>
        </w:tc>
        <w:tc>
          <w:tcPr>
            <w:tcW w:w="570" w:type="dxa"/>
            <w:gridSpan w:val="2"/>
            <w:shd w:val="clear" w:color="auto" w:fill="FFFFFF"/>
            <w:vAlign w:val="center"/>
          </w:tcPr>
          <w:p w14:paraId="6F186E8C" w14:textId="20976A68" w:rsidR="003349BF" w:rsidRPr="004F5A9D" w:rsidRDefault="003349BF" w:rsidP="0066729B">
            <w:pPr>
              <w:spacing w:line="240" w:lineRule="auto"/>
              <w:ind w:left="-272" w:firstLine="141"/>
              <w:jc w:val="right"/>
              <w:rPr>
                <w:rFonts w:ascii="Times New Roman" w:hAnsi="Times New Roman"/>
                <w:sz w:val="20"/>
                <w:szCs w:val="20"/>
              </w:rPr>
            </w:pPr>
            <w:r w:rsidRPr="004F5A9D">
              <w:rPr>
                <w:sz w:val="20"/>
                <w:szCs w:val="20"/>
              </w:rPr>
              <w:t>80</w:t>
            </w:r>
          </w:p>
        </w:tc>
        <w:tc>
          <w:tcPr>
            <w:tcW w:w="570" w:type="dxa"/>
            <w:gridSpan w:val="3"/>
            <w:shd w:val="clear" w:color="auto" w:fill="FFFFFF"/>
            <w:vAlign w:val="center"/>
          </w:tcPr>
          <w:p w14:paraId="1755F616" w14:textId="1F09811F" w:rsidR="003349BF" w:rsidRPr="004F5A9D" w:rsidRDefault="003349BF" w:rsidP="0066729B">
            <w:pPr>
              <w:spacing w:line="240" w:lineRule="auto"/>
              <w:ind w:left="-272" w:firstLine="141"/>
              <w:jc w:val="right"/>
              <w:rPr>
                <w:rFonts w:ascii="Times New Roman" w:hAnsi="Times New Roman"/>
                <w:sz w:val="20"/>
                <w:szCs w:val="20"/>
              </w:rPr>
            </w:pPr>
            <w:r w:rsidRPr="004F5A9D">
              <w:rPr>
                <w:sz w:val="20"/>
                <w:szCs w:val="20"/>
              </w:rPr>
              <w:t>80</w:t>
            </w:r>
          </w:p>
        </w:tc>
        <w:tc>
          <w:tcPr>
            <w:tcW w:w="569" w:type="dxa"/>
            <w:gridSpan w:val="2"/>
            <w:shd w:val="clear" w:color="auto" w:fill="FFFFFF"/>
            <w:vAlign w:val="center"/>
          </w:tcPr>
          <w:p w14:paraId="57CE5BF8" w14:textId="29A5F261" w:rsidR="003349BF" w:rsidRPr="004F5A9D" w:rsidRDefault="003349BF" w:rsidP="0066729B">
            <w:pPr>
              <w:spacing w:line="240" w:lineRule="auto"/>
              <w:ind w:left="-272" w:firstLine="141"/>
              <w:jc w:val="right"/>
              <w:rPr>
                <w:rFonts w:ascii="Times New Roman" w:hAnsi="Times New Roman"/>
                <w:sz w:val="20"/>
                <w:szCs w:val="20"/>
              </w:rPr>
            </w:pPr>
            <w:r w:rsidRPr="004F5A9D">
              <w:rPr>
                <w:sz w:val="20"/>
                <w:szCs w:val="20"/>
              </w:rPr>
              <w:t>80</w:t>
            </w:r>
          </w:p>
        </w:tc>
        <w:tc>
          <w:tcPr>
            <w:tcW w:w="570" w:type="dxa"/>
            <w:gridSpan w:val="2"/>
            <w:shd w:val="clear" w:color="auto" w:fill="FFFFFF"/>
            <w:vAlign w:val="center"/>
          </w:tcPr>
          <w:p w14:paraId="22AB18DB" w14:textId="77777777" w:rsidR="003349BF" w:rsidRPr="004F5A9D" w:rsidRDefault="003349BF" w:rsidP="0066729B">
            <w:pPr>
              <w:spacing w:line="240" w:lineRule="auto"/>
              <w:ind w:left="-272" w:firstLine="141"/>
              <w:jc w:val="right"/>
              <w:rPr>
                <w:rFonts w:ascii="Times New Roman" w:hAnsi="Times New Roman"/>
                <w:sz w:val="20"/>
                <w:szCs w:val="20"/>
              </w:rPr>
            </w:pPr>
          </w:p>
        </w:tc>
        <w:tc>
          <w:tcPr>
            <w:tcW w:w="570" w:type="dxa"/>
            <w:shd w:val="clear" w:color="auto" w:fill="FFFFFF"/>
            <w:vAlign w:val="center"/>
          </w:tcPr>
          <w:p w14:paraId="18E54248" w14:textId="77777777" w:rsidR="003349BF" w:rsidRPr="004F5A9D" w:rsidRDefault="003349BF" w:rsidP="0066729B">
            <w:pPr>
              <w:spacing w:line="240" w:lineRule="auto"/>
              <w:ind w:left="-272" w:firstLine="141"/>
              <w:jc w:val="right"/>
              <w:rPr>
                <w:rFonts w:ascii="Times New Roman" w:hAnsi="Times New Roman"/>
                <w:sz w:val="20"/>
                <w:szCs w:val="20"/>
              </w:rPr>
            </w:pPr>
          </w:p>
        </w:tc>
        <w:tc>
          <w:tcPr>
            <w:tcW w:w="570" w:type="dxa"/>
            <w:gridSpan w:val="4"/>
            <w:shd w:val="clear" w:color="auto" w:fill="FFFFFF"/>
            <w:vAlign w:val="center"/>
          </w:tcPr>
          <w:p w14:paraId="2E2C8AE4" w14:textId="77777777" w:rsidR="003349BF" w:rsidRPr="004F5A9D" w:rsidRDefault="003349BF" w:rsidP="0066729B">
            <w:pPr>
              <w:spacing w:line="240" w:lineRule="auto"/>
              <w:ind w:left="-272" w:firstLine="141"/>
              <w:jc w:val="right"/>
              <w:rPr>
                <w:rFonts w:ascii="Times New Roman" w:hAnsi="Times New Roman"/>
                <w:sz w:val="20"/>
                <w:szCs w:val="20"/>
              </w:rPr>
            </w:pPr>
          </w:p>
        </w:tc>
        <w:tc>
          <w:tcPr>
            <w:tcW w:w="569" w:type="dxa"/>
            <w:gridSpan w:val="3"/>
            <w:shd w:val="clear" w:color="auto" w:fill="FFFFFF"/>
            <w:vAlign w:val="center"/>
          </w:tcPr>
          <w:p w14:paraId="7DD91249" w14:textId="77777777" w:rsidR="003349BF" w:rsidRPr="004F5A9D" w:rsidRDefault="003349BF" w:rsidP="0066729B">
            <w:pPr>
              <w:spacing w:line="240" w:lineRule="auto"/>
              <w:ind w:left="-272" w:firstLine="141"/>
              <w:jc w:val="right"/>
              <w:rPr>
                <w:rFonts w:ascii="Times New Roman" w:hAnsi="Times New Roman"/>
                <w:sz w:val="20"/>
                <w:szCs w:val="20"/>
              </w:rPr>
            </w:pPr>
          </w:p>
        </w:tc>
        <w:tc>
          <w:tcPr>
            <w:tcW w:w="570" w:type="dxa"/>
            <w:shd w:val="clear" w:color="auto" w:fill="FFFFFF"/>
            <w:vAlign w:val="center"/>
          </w:tcPr>
          <w:p w14:paraId="0B9F62F9" w14:textId="77777777" w:rsidR="003349BF" w:rsidRPr="004F5A9D" w:rsidRDefault="003349BF" w:rsidP="0066729B">
            <w:pPr>
              <w:spacing w:line="240" w:lineRule="auto"/>
              <w:ind w:left="-272" w:firstLine="141"/>
              <w:jc w:val="right"/>
              <w:rPr>
                <w:rFonts w:ascii="Times New Roman" w:hAnsi="Times New Roman"/>
                <w:sz w:val="20"/>
                <w:szCs w:val="20"/>
              </w:rPr>
            </w:pPr>
          </w:p>
        </w:tc>
        <w:tc>
          <w:tcPr>
            <w:tcW w:w="570" w:type="dxa"/>
            <w:gridSpan w:val="2"/>
            <w:shd w:val="clear" w:color="auto" w:fill="FFFFFF"/>
            <w:vAlign w:val="center"/>
          </w:tcPr>
          <w:p w14:paraId="7CA4A606" w14:textId="77777777" w:rsidR="003349BF" w:rsidRPr="004F5A9D" w:rsidRDefault="003349BF" w:rsidP="0066729B">
            <w:pPr>
              <w:spacing w:line="240" w:lineRule="auto"/>
              <w:ind w:left="-272" w:firstLine="141"/>
              <w:jc w:val="right"/>
              <w:rPr>
                <w:rFonts w:ascii="Times New Roman" w:hAnsi="Times New Roman"/>
                <w:sz w:val="20"/>
                <w:szCs w:val="20"/>
              </w:rPr>
            </w:pPr>
          </w:p>
        </w:tc>
        <w:tc>
          <w:tcPr>
            <w:tcW w:w="570" w:type="dxa"/>
            <w:shd w:val="clear" w:color="auto" w:fill="FFFFFF"/>
            <w:vAlign w:val="center"/>
          </w:tcPr>
          <w:p w14:paraId="53821D87" w14:textId="77777777" w:rsidR="003349BF" w:rsidRPr="004F5A9D" w:rsidRDefault="003349BF" w:rsidP="0066729B">
            <w:pPr>
              <w:spacing w:line="240" w:lineRule="auto"/>
              <w:ind w:left="-272" w:firstLine="141"/>
              <w:jc w:val="right"/>
              <w:rPr>
                <w:rFonts w:ascii="Times New Roman" w:hAnsi="Times New Roman"/>
                <w:sz w:val="20"/>
                <w:szCs w:val="20"/>
              </w:rPr>
            </w:pPr>
          </w:p>
        </w:tc>
        <w:tc>
          <w:tcPr>
            <w:tcW w:w="1547" w:type="dxa"/>
            <w:gridSpan w:val="3"/>
            <w:shd w:val="clear" w:color="auto" w:fill="FFFFFF"/>
            <w:vAlign w:val="center"/>
          </w:tcPr>
          <w:p w14:paraId="41B3ACDE" w14:textId="47BB602E" w:rsidR="003349BF" w:rsidRPr="004F5A9D" w:rsidRDefault="003349BF" w:rsidP="0066729B">
            <w:pPr>
              <w:spacing w:line="240" w:lineRule="auto"/>
              <w:ind w:left="-272" w:firstLine="141"/>
              <w:jc w:val="right"/>
              <w:rPr>
                <w:rFonts w:ascii="Times New Roman" w:hAnsi="Times New Roman"/>
                <w:sz w:val="20"/>
                <w:szCs w:val="20"/>
              </w:rPr>
            </w:pPr>
            <w:r w:rsidRPr="004F5A9D">
              <w:rPr>
                <w:sz w:val="20"/>
                <w:szCs w:val="20"/>
              </w:rPr>
              <w:t>320</w:t>
            </w:r>
          </w:p>
        </w:tc>
      </w:tr>
      <w:tr w:rsidR="006C4216" w:rsidRPr="0050413F" w14:paraId="279F169C" w14:textId="77777777" w:rsidTr="0066729B">
        <w:trPr>
          <w:trHeight w:val="351"/>
        </w:trPr>
        <w:tc>
          <w:tcPr>
            <w:tcW w:w="3133" w:type="dxa"/>
            <w:gridSpan w:val="3"/>
            <w:shd w:val="clear" w:color="auto" w:fill="FFFFFF"/>
            <w:vAlign w:val="center"/>
          </w:tcPr>
          <w:p w14:paraId="640C1773"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pozostałe jednostki (oddzielnie)</w:t>
            </w:r>
          </w:p>
        </w:tc>
        <w:tc>
          <w:tcPr>
            <w:tcW w:w="569" w:type="dxa"/>
            <w:gridSpan w:val="3"/>
            <w:shd w:val="clear" w:color="auto" w:fill="FFFFFF"/>
            <w:vAlign w:val="center"/>
          </w:tcPr>
          <w:p w14:paraId="3EEC8991" w14:textId="77777777" w:rsidR="002E5FFA" w:rsidRPr="004F5A9D" w:rsidRDefault="002E5FFA" w:rsidP="0066729B">
            <w:pPr>
              <w:spacing w:line="240" w:lineRule="auto"/>
              <w:ind w:left="-272" w:firstLine="141"/>
              <w:jc w:val="right"/>
              <w:rPr>
                <w:rFonts w:ascii="Times New Roman" w:hAnsi="Times New Roman"/>
                <w:sz w:val="20"/>
                <w:szCs w:val="20"/>
              </w:rPr>
            </w:pPr>
          </w:p>
        </w:tc>
        <w:tc>
          <w:tcPr>
            <w:tcW w:w="570" w:type="dxa"/>
            <w:gridSpan w:val="2"/>
            <w:shd w:val="clear" w:color="auto" w:fill="FFFFFF"/>
            <w:vAlign w:val="center"/>
          </w:tcPr>
          <w:p w14:paraId="13666402" w14:textId="77777777" w:rsidR="002E5FFA" w:rsidRPr="004F5A9D" w:rsidRDefault="002E5FFA" w:rsidP="0066729B">
            <w:pPr>
              <w:spacing w:line="240" w:lineRule="auto"/>
              <w:ind w:left="-272" w:firstLine="141"/>
              <w:jc w:val="right"/>
              <w:rPr>
                <w:rFonts w:ascii="Times New Roman" w:hAnsi="Times New Roman"/>
                <w:sz w:val="20"/>
                <w:szCs w:val="20"/>
              </w:rPr>
            </w:pPr>
          </w:p>
        </w:tc>
        <w:tc>
          <w:tcPr>
            <w:tcW w:w="570" w:type="dxa"/>
            <w:gridSpan w:val="3"/>
            <w:shd w:val="clear" w:color="auto" w:fill="FFFFFF"/>
            <w:vAlign w:val="center"/>
          </w:tcPr>
          <w:p w14:paraId="5A175C85" w14:textId="77777777" w:rsidR="002E5FFA" w:rsidRPr="004F5A9D" w:rsidRDefault="002E5FFA" w:rsidP="0066729B">
            <w:pPr>
              <w:spacing w:line="240" w:lineRule="auto"/>
              <w:ind w:left="-272" w:firstLine="141"/>
              <w:jc w:val="right"/>
              <w:rPr>
                <w:rFonts w:ascii="Times New Roman" w:hAnsi="Times New Roman"/>
                <w:sz w:val="20"/>
                <w:szCs w:val="20"/>
              </w:rPr>
            </w:pPr>
          </w:p>
        </w:tc>
        <w:tc>
          <w:tcPr>
            <w:tcW w:w="569" w:type="dxa"/>
            <w:gridSpan w:val="2"/>
            <w:shd w:val="clear" w:color="auto" w:fill="FFFFFF"/>
            <w:vAlign w:val="center"/>
          </w:tcPr>
          <w:p w14:paraId="4D453235" w14:textId="77777777" w:rsidR="002E5FFA" w:rsidRPr="004F5A9D" w:rsidRDefault="002E5FFA" w:rsidP="0066729B">
            <w:pPr>
              <w:spacing w:line="240" w:lineRule="auto"/>
              <w:ind w:left="-272" w:firstLine="141"/>
              <w:jc w:val="right"/>
              <w:rPr>
                <w:rFonts w:ascii="Times New Roman" w:hAnsi="Times New Roman"/>
                <w:sz w:val="20"/>
                <w:szCs w:val="20"/>
              </w:rPr>
            </w:pPr>
          </w:p>
        </w:tc>
        <w:tc>
          <w:tcPr>
            <w:tcW w:w="570" w:type="dxa"/>
            <w:gridSpan w:val="2"/>
            <w:shd w:val="clear" w:color="auto" w:fill="FFFFFF"/>
            <w:vAlign w:val="center"/>
          </w:tcPr>
          <w:p w14:paraId="72A3F790" w14:textId="77777777" w:rsidR="002E5FFA" w:rsidRPr="004F5A9D" w:rsidRDefault="002E5FFA" w:rsidP="0066729B">
            <w:pPr>
              <w:spacing w:line="240" w:lineRule="auto"/>
              <w:ind w:left="-272" w:firstLine="141"/>
              <w:jc w:val="right"/>
              <w:rPr>
                <w:rFonts w:ascii="Times New Roman" w:hAnsi="Times New Roman"/>
                <w:sz w:val="20"/>
                <w:szCs w:val="20"/>
              </w:rPr>
            </w:pPr>
          </w:p>
        </w:tc>
        <w:tc>
          <w:tcPr>
            <w:tcW w:w="570" w:type="dxa"/>
            <w:shd w:val="clear" w:color="auto" w:fill="FFFFFF"/>
            <w:vAlign w:val="center"/>
          </w:tcPr>
          <w:p w14:paraId="175D4720" w14:textId="77777777" w:rsidR="002E5FFA" w:rsidRPr="004F5A9D" w:rsidRDefault="002E5FFA" w:rsidP="0066729B">
            <w:pPr>
              <w:spacing w:line="240" w:lineRule="auto"/>
              <w:ind w:left="-272" w:firstLine="141"/>
              <w:jc w:val="right"/>
              <w:rPr>
                <w:rFonts w:ascii="Times New Roman" w:hAnsi="Times New Roman"/>
                <w:sz w:val="20"/>
                <w:szCs w:val="20"/>
              </w:rPr>
            </w:pPr>
          </w:p>
        </w:tc>
        <w:tc>
          <w:tcPr>
            <w:tcW w:w="570" w:type="dxa"/>
            <w:gridSpan w:val="4"/>
            <w:shd w:val="clear" w:color="auto" w:fill="FFFFFF"/>
            <w:vAlign w:val="center"/>
          </w:tcPr>
          <w:p w14:paraId="707E5B2F" w14:textId="77777777" w:rsidR="002E5FFA" w:rsidRPr="004F5A9D" w:rsidRDefault="002E5FFA" w:rsidP="0066729B">
            <w:pPr>
              <w:spacing w:line="240" w:lineRule="auto"/>
              <w:ind w:left="-272" w:firstLine="141"/>
              <w:jc w:val="right"/>
              <w:rPr>
                <w:rFonts w:ascii="Times New Roman" w:hAnsi="Times New Roman"/>
                <w:sz w:val="20"/>
                <w:szCs w:val="20"/>
              </w:rPr>
            </w:pPr>
          </w:p>
        </w:tc>
        <w:tc>
          <w:tcPr>
            <w:tcW w:w="569" w:type="dxa"/>
            <w:gridSpan w:val="3"/>
            <w:shd w:val="clear" w:color="auto" w:fill="FFFFFF"/>
            <w:vAlign w:val="center"/>
          </w:tcPr>
          <w:p w14:paraId="3A7CFBA2" w14:textId="77777777" w:rsidR="002E5FFA" w:rsidRPr="004F5A9D" w:rsidRDefault="002E5FFA" w:rsidP="0066729B">
            <w:pPr>
              <w:spacing w:line="240" w:lineRule="auto"/>
              <w:ind w:left="-272" w:firstLine="141"/>
              <w:jc w:val="right"/>
              <w:rPr>
                <w:rFonts w:ascii="Times New Roman" w:hAnsi="Times New Roman"/>
                <w:sz w:val="20"/>
                <w:szCs w:val="20"/>
              </w:rPr>
            </w:pPr>
          </w:p>
        </w:tc>
        <w:tc>
          <w:tcPr>
            <w:tcW w:w="570" w:type="dxa"/>
            <w:shd w:val="clear" w:color="auto" w:fill="FFFFFF"/>
            <w:vAlign w:val="center"/>
          </w:tcPr>
          <w:p w14:paraId="67CE3C82" w14:textId="77777777" w:rsidR="002E5FFA" w:rsidRPr="004F5A9D" w:rsidRDefault="002E5FFA" w:rsidP="0066729B">
            <w:pPr>
              <w:spacing w:line="240" w:lineRule="auto"/>
              <w:ind w:left="-272" w:firstLine="141"/>
              <w:jc w:val="right"/>
              <w:rPr>
                <w:rFonts w:ascii="Times New Roman" w:hAnsi="Times New Roman"/>
                <w:sz w:val="20"/>
                <w:szCs w:val="20"/>
              </w:rPr>
            </w:pPr>
          </w:p>
        </w:tc>
        <w:tc>
          <w:tcPr>
            <w:tcW w:w="570" w:type="dxa"/>
            <w:gridSpan w:val="2"/>
            <w:shd w:val="clear" w:color="auto" w:fill="FFFFFF"/>
            <w:vAlign w:val="center"/>
          </w:tcPr>
          <w:p w14:paraId="6DF42C14" w14:textId="77777777" w:rsidR="002E5FFA" w:rsidRPr="004F5A9D" w:rsidRDefault="002E5FFA" w:rsidP="0066729B">
            <w:pPr>
              <w:spacing w:line="240" w:lineRule="auto"/>
              <w:ind w:left="-272" w:firstLine="141"/>
              <w:jc w:val="right"/>
              <w:rPr>
                <w:rFonts w:ascii="Times New Roman" w:hAnsi="Times New Roman"/>
                <w:sz w:val="20"/>
                <w:szCs w:val="20"/>
              </w:rPr>
            </w:pPr>
          </w:p>
        </w:tc>
        <w:tc>
          <w:tcPr>
            <w:tcW w:w="570" w:type="dxa"/>
            <w:shd w:val="clear" w:color="auto" w:fill="FFFFFF"/>
            <w:vAlign w:val="center"/>
          </w:tcPr>
          <w:p w14:paraId="4B4BE7D6" w14:textId="77777777" w:rsidR="002E5FFA" w:rsidRPr="004F5A9D" w:rsidRDefault="002E5FFA" w:rsidP="0066729B">
            <w:pPr>
              <w:spacing w:line="240" w:lineRule="auto"/>
              <w:ind w:left="-272" w:firstLine="141"/>
              <w:jc w:val="right"/>
              <w:rPr>
                <w:rFonts w:ascii="Times New Roman" w:hAnsi="Times New Roman"/>
                <w:sz w:val="20"/>
                <w:szCs w:val="20"/>
              </w:rPr>
            </w:pPr>
          </w:p>
        </w:tc>
        <w:tc>
          <w:tcPr>
            <w:tcW w:w="1547" w:type="dxa"/>
            <w:gridSpan w:val="3"/>
            <w:shd w:val="clear" w:color="auto" w:fill="FFFFFF"/>
            <w:vAlign w:val="center"/>
          </w:tcPr>
          <w:p w14:paraId="3A09DE39" w14:textId="77777777" w:rsidR="002E5FFA" w:rsidRPr="004F5A9D" w:rsidRDefault="002E5FFA" w:rsidP="0066729B">
            <w:pPr>
              <w:spacing w:line="240" w:lineRule="auto"/>
              <w:ind w:left="-272" w:firstLine="141"/>
              <w:jc w:val="right"/>
              <w:rPr>
                <w:rFonts w:ascii="Times New Roman" w:hAnsi="Times New Roman"/>
                <w:sz w:val="20"/>
                <w:szCs w:val="20"/>
              </w:rPr>
            </w:pPr>
          </w:p>
        </w:tc>
      </w:tr>
      <w:tr w:rsidR="00557930" w:rsidRPr="0050413F" w14:paraId="35C7D235" w14:textId="77777777" w:rsidTr="0066729B">
        <w:trPr>
          <w:trHeight w:val="360"/>
        </w:trPr>
        <w:tc>
          <w:tcPr>
            <w:tcW w:w="3133" w:type="dxa"/>
            <w:gridSpan w:val="3"/>
            <w:shd w:val="clear" w:color="auto" w:fill="FFFFFF"/>
            <w:vAlign w:val="center"/>
          </w:tcPr>
          <w:p w14:paraId="1D3339B6" w14:textId="77777777" w:rsidR="00557930" w:rsidRPr="0050413F" w:rsidRDefault="00557930" w:rsidP="00557930">
            <w:pPr>
              <w:spacing w:line="240" w:lineRule="auto"/>
              <w:rPr>
                <w:rFonts w:ascii="Times New Roman" w:hAnsi="Times New Roman"/>
                <w:color w:val="000000"/>
              </w:rPr>
            </w:pPr>
            <w:r w:rsidRPr="0050413F">
              <w:rPr>
                <w:rFonts w:ascii="Times New Roman" w:hAnsi="Times New Roman"/>
                <w:b/>
                <w:color w:val="000000"/>
              </w:rPr>
              <w:t>Saldo ogółem</w:t>
            </w:r>
          </w:p>
        </w:tc>
        <w:tc>
          <w:tcPr>
            <w:tcW w:w="569" w:type="dxa"/>
            <w:gridSpan w:val="3"/>
            <w:shd w:val="clear" w:color="auto" w:fill="FFFFFF"/>
            <w:vAlign w:val="center"/>
          </w:tcPr>
          <w:p w14:paraId="5139C931" w14:textId="2D00667A" w:rsidR="00557930" w:rsidRPr="004F5A9D" w:rsidRDefault="00557930" w:rsidP="0066729B">
            <w:pPr>
              <w:spacing w:line="240" w:lineRule="auto"/>
              <w:ind w:left="-272" w:firstLine="141"/>
              <w:jc w:val="right"/>
              <w:rPr>
                <w:rFonts w:ascii="Times New Roman" w:hAnsi="Times New Roman"/>
                <w:b/>
                <w:bCs/>
                <w:sz w:val="20"/>
                <w:szCs w:val="20"/>
              </w:rPr>
            </w:pPr>
            <w:r w:rsidRPr="004F5A9D">
              <w:rPr>
                <w:b/>
                <w:bCs/>
                <w:sz w:val="20"/>
                <w:szCs w:val="20"/>
              </w:rPr>
              <w:t>-89</w:t>
            </w:r>
          </w:p>
        </w:tc>
        <w:tc>
          <w:tcPr>
            <w:tcW w:w="570" w:type="dxa"/>
            <w:gridSpan w:val="2"/>
            <w:shd w:val="clear" w:color="auto" w:fill="FFFFFF"/>
            <w:vAlign w:val="center"/>
          </w:tcPr>
          <w:p w14:paraId="30E840FB" w14:textId="036816B0" w:rsidR="00557930" w:rsidRPr="004F5A9D" w:rsidRDefault="00557930" w:rsidP="0066729B">
            <w:pPr>
              <w:spacing w:line="240" w:lineRule="auto"/>
              <w:ind w:left="-272" w:firstLine="141"/>
              <w:jc w:val="right"/>
              <w:rPr>
                <w:rFonts w:ascii="Times New Roman" w:hAnsi="Times New Roman"/>
                <w:b/>
                <w:bCs/>
                <w:sz w:val="20"/>
                <w:szCs w:val="20"/>
              </w:rPr>
            </w:pPr>
            <w:r w:rsidRPr="004F5A9D">
              <w:rPr>
                <w:b/>
                <w:bCs/>
                <w:sz w:val="20"/>
                <w:szCs w:val="20"/>
              </w:rPr>
              <w:t>-89</w:t>
            </w:r>
          </w:p>
        </w:tc>
        <w:tc>
          <w:tcPr>
            <w:tcW w:w="570" w:type="dxa"/>
            <w:gridSpan w:val="3"/>
            <w:shd w:val="clear" w:color="auto" w:fill="FFFFFF"/>
            <w:vAlign w:val="center"/>
          </w:tcPr>
          <w:p w14:paraId="5911B167" w14:textId="4B3B1289" w:rsidR="00557930" w:rsidRPr="004F5A9D" w:rsidRDefault="00557930" w:rsidP="0066729B">
            <w:pPr>
              <w:spacing w:line="240" w:lineRule="auto"/>
              <w:ind w:left="-272" w:firstLine="141"/>
              <w:jc w:val="right"/>
              <w:rPr>
                <w:rFonts w:ascii="Times New Roman" w:hAnsi="Times New Roman"/>
                <w:b/>
                <w:bCs/>
                <w:sz w:val="20"/>
                <w:szCs w:val="20"/>
              </w:rPr>
            </w:pPr>
            <w:r w:rsidRPr="004F5A9D">
              <w:rPr>
                <w:b/>
                <w:bCs/>
                <w:sz w:val="20"/>
                <w:szCs w:val="20"/>
              </w:rPr>
              <w:t>-89</w:t>
            </w:r>
          </w:p>
        </w:tc>
        <w:tc>
          <w:tcPr>
            <w:tcW w:w="569" w:type="dxa"/>
            <w:gridSpan w:val="2"/>
            <w:shd w:val="clear" w:color="auto" w:fill="FFFFFF"/>
            <w:vAlign w:val="center"/>
          </w:tcPr>
          <w:p w14:paraId="16CF9C8E" w14:textId="3442FF3E" w:rsidR="00557930" w:rsidRPr="004F5A9D" w:rsidRDefault="00557930" w:rsidP="0066729B">
            <w:pPr>
              <w:spacing w:line="240" w:lineRule="auto"/>
              <w:ind w:left="-272" w:firstLine="141"/>
              <w:jc w:val="right"/>
              <w:rPr>
                <w:rFonts w:ascii="Times New Roman" w:hAnsi="Times New Roman"/>
                <w:b/>
                <w:bCs/>
                <w:sz w:val="20"/>
                <w:szCs w:val="20"/>
              </w:rPr>
            </w:pPr>
            <w:r w:rsidRPr="004F5A9D">
              <w:rPr>
                <w:b/>
                <w:bCs/>
                <w:sz w:val="20"/>
                <w:szCs w:val="20"/>
              </w:rPr>
              <w:t>-88</w:t>
            </w:r>
          </w:p>
        </w:tc>
        <w:tc>
          <w:tcPr>
            <w:tcW w:w="570" w:type="dxa"/>
            <w:gridSpan w:val="2"/>
            <w:shd w:val="clear" w:color="auto" w:fill="FFFFFF"/>
            <w:vAlign w:val="center"/>
          </w:tcPr>
          <w:p w14:paraId="35B5A8C9" w14:textId="0946AF77" w:rsidR="00557930" w:rsidRPr="004F5A9D" w:rsidRDefault="00557930" w:rsidP="0066729B">
            <w:pPr>
              <w:spacing w:line="240" w:lineRule="auto"/>
              <w:ind w:left="-272" w:firstLine="141"/>
              <w:jc w:val="right"/>
              <w:rPr>
                <w:rFonts w:ascii="Times New Roman" w:hAnsi="Times New Roman"/>
                <w:b/>
                <w:bCs/>
                <w:sz w:val="20"/>
                <w:szCs w:val="20"/>
              </w:rPr>
            </w:pPr>
            <w:r w:rsidRPr="004F5A9D">
              <w:rPr>
                <w:b/>
                <w:bCs/>
                <w:sz w:val="20"/>
                <w:szCs w:val="20"/>
              </w:rPr>
              <w:t>-2</w:t>
            </w:r>
          </w:p>
        </w:tc>
        <w:tc>
          <w:tcPr>
            <w:tcW w:w="570" w:type="dxa"/>
            <w:shd w:val="clear" w:color="auto" w:fill="FFFFFF"/>
            <w:vAlign w:val="center"/>
          </w:tcPr>
          <w:p w14:paraId="1518FF83" w14:textId="77C615B5" w:rsidR="00557930" w:rsidRPr="004F5A9D" w:rsidRDefault="00557930" w:rsidP="0066729B">
            <w:pPr>
              <w:spacing w:line="240" w:lineRule="auto"/>
              <w:ind w:left="-272" w:firstLine="141"/>
              <w:jc w:val="right"/>
              <w:rPr>
                <w:rFonts w:ascii="Times New Roman" w:hAnsi="Times New Roman"/>
                <w:b/>
                <w:bCs/>
                <w:sz w:val="20"/>
                <w:szCs w:val="20"/>
              </w:rPr>
            </w:pPr>
            <w:r w:rsidRPr="004F5A9D">
              <w:rPr>
                <w:b/>
                <w:bCs/>
                <w:sz w:val="20"/>
                <w:szCs w:val="20"/>
              </w:rPr>
              <w:t>657</w:t>
            </w:r>
          </w:p>
        </w:tc>
        <w:tc>
          <w:tcPr>
            <w:tcW w:w="570" w:type="dxa"/>
            <w:gridSpan w:val="4"/>
            <w:shd w:val="clear" w:color="auto" w:fill="FFFFFF"/>
            <w:vAlign w:val="center"/>
          </w:tcPr>
          <w:p w14:paraId="7B0F0BEB" w14:textId="053BCAC7" w:rsidR="00557930" w:rsidRPr="004F5A9D" w:rsidRDefault="00557930" w:rsidP="0066729B">
            <w:pPr>
              <w:spacing w:line="240" w:lineRule="auto"/>
              <w:ind w:left="-272" w:firstLine="141"/>
              <w:jc w:val="right"/>
              <w:rPr>
                <w:rFonts w:ascii="Times New Roman" w:hAnsi="Times New Roman"/>
                <w:b/>
                <w:bCs/>
                <w:sz w:val="20"/>
                <w:szCs w:val="20"/>
              </w:rPr>
            </w:pPr>
            <w:r w:rsidRPr="004F5A9D">
              <w:rPr>
                <w:b/>
                <w:bCs/>
                <w:sz w:val="20"/>
                <w:szCs w:val="20"/>
              </w:rPr>
              <w:t>1 317</w:t>
            </w:r>
          </w:p>
        </w:tc>
        <w:tc>
          <w:tcPr>
            <w:tcW w:w="569" w:type="dxa"/>
            <w:gridSpan w:val="3"/>
            <w:shd w:val="clear" w:color="auto" w:fill="FFFFFF"/>
            <w:vAlign w:val="center"/>
          </w:tcPr>
          <w:p w14:paraId="0B493394" w14:textId="61DED7E2" w:rsidR="00557930" w:rsidRPr="004F5A9D" w:rsidRDefault="00557930" w:rsidP="0066729B">
            <w:pPr>
              <w:spacing w:line="240" w:lineRule="auto"/>
              <w:ind w:left="-272" w:firstLine="141"/>
              <w:jc w:val="right"/>
              <w:rPr>
                <w:rFonts w:ascii="Times New Roman" w:hAnsi="Times New Roman"/>
                <w:b/>
                <w:bCs/>
                <w:sz w:val="20"/>
                <w:szCs w:val="20"/>
              </w:rPr>
            </w:pPr>
            <w:r w:rsidRPr="004F5A9D">
              <w:rPr>
                <w:b/>
                <w:bCs/>
                <w:sz w:val="20"/>
                <w:szCs w:val="20"/>
              </w:rPr>
              <w:t>1 976</w:t>
            </w:r>
          </w:p>
        </w:tc>
        <w:tc>
          <w:tcPr>
            <w:tcW w:w="570" w:type="dxa"/>
            <w:shd w:val="clear" w:color="auto" w:fill="FFFFFF"/>
            <w:vAlign w:val="center"/>
          </w:tcPr>
          <w:p w14:paraId="124C7C53" w14:textId="3D0CDDA8" w:rsidR="00557930" w:rsidRPr="004F5A9D" w:rsidRDefault="00557930" w:rsidP="0066729B">
            <w:pPr>
              <w:spacing w:line="240" w:lineRule="auto"/>
              <w:ind w:left="-272" w:firstLine="141"/>
              <w:jc w:val="right"/>
              <w:rPr>
                <w:rFonts w:ascii="Times New Roman" w:hAnsi="Times New Roman"/>
                <w:b/>
                <w:bCs/>
                <w:sz w:val="20"/>
                <w:szCs w:val="20"/>
              </w:rPr>
            </w:pPr>
            <w:r w:rsidRPr="004F5A9D">
              <w:rPr>
                <w:b/>
                <w:bCs/>
                <w:sz w:val="20"/>
                <w:szCs w:val="20"/>
              </w:rPr>
              <w:t>2 636</w:t>
            </w:r>
          </w:p>
        </w:tc>
        <w:tc>
          <w:tcPr>
            <w:tcW w:w="570" w:type="dxa"/>
            <w:gridSpan w:val="2"/>
            <w:shd w:val="clear" w:color="auto" w:fill="FFFFFF"/>
            <w:vAlign w:val="center"/>
          </w:tcPr>
          <w:p w14:paraId="1B4A418A" w14:textId="31A046BB" w:rsidR="00557930" w:rsidRPr="004F5A9D" w:rsidRDefault="00557930" w:rsidP="0066729B">
            <w:pPr>
              <w:spacing w:line="240" w:lineRule="auto"/>
              <w:ind w:left="-272" w:firstLine="141"/>
              <w:jc w:val="right"/>
              <w:rPr>
                <w:rFonts w:ascii="Times New Roman" w:hAnsi="Times New Roman"/>
                <w:b/>
                <w:bCs/>
                <w:sz w:val="20"/>
                <w:szCs w:val="20"/>
              </w:rPr>
            </w:pPr>
            <w:r w:rsidRPr="004F5A9D">
              <w:rPr>
                <w:b/>
                <w:bCs/>
                <w:sz w:val="20"/>
                <w:szCs w:val="20"/>
              </w:rPr>
              <w:t>3 297</w:t>
            </w:r>
          </w:p>
        </w:tc>
        <w:tc>
          <w:tcPr>
            <w:tcW w:w="570" w:type="dxa"/>
            <w:shd w:val="clear" w:color="auto" w:fill="FFFFFF"/>
            <w:vAlign w:val="center"/>
          </w:tcPr>
          <w:p w14:paraId="0AC10641" w14:textId="6CC63F75" w:rsidR="00557930" w:rsidRPr="004F5A9D" w:rsidRDefault="00557930" w:rsidP="0066729B">
            <w:pPr>
              <w:spacing w:line="240" w:lineRule="auto"/>
              <w:ind w:left="-272" w:firstLine="141"/>
              <w:jc w:val="right"/>
              <w:rPr>
                <w:rFonts w:ascii="Times New Roman" w:hAnsi="Times New Roman"/>
                <w:b/>
                <w:bCs/>
                <w:sz w:val="20"/>
                <w:szCs w:val="20"/>
              </w:rPr>
            </w:pPr>
            <w:r w:rsidRPr="004F5A9D">
              <w:rPr>
                <w:b/>
                <w:bCs/>
                <w:sz w:val="20"/>
                <w:szCs w:val="20"/>
              </w:rPr>
              <w:t>3 297</w:t>
            </w:r>
          </w:p>
        </w:tc>
        <w:tc>
          <w:tcPr>
            <w:tcW w:w="1547" w:type="dxa"/>
            <w:gridSpan w:val="3"/>
            <w:shd w:val="clear" w:color="auto" w:fill="FFFFFF"/>
            <w:vAlign w:val="center"/>
          </w:tcPr>
          <w:p w14:paraId="2A19AB27" w14:textId="0C7D6F4E" w:rsidR="00557930" w:rsidRPr="004F5A9D" w:rsidRDefault="00557930" w:rsidP="0066729B">
            <w:pPr>
              <w:spacing w:line="240" w:lineRule="auto"/>
              <w:ind w:left="-272" w:firstLine="141"/>
              <w:jc w:val="right"/>
              <w:rPr>
                <w:rFonts w:ascii="Times New Roman" w:hAnsi="Times New Roman"/>
                <w:b/>
                <w:bCs/>
                <w:sz w:val="20"/>
                <w:szCs w:val="20"/>
              </w:rPr>
            </w:pPr>
            <w:r w:rsidRPr="004F5A9D">
              <w:rPr>
                <w:b/>
                <w:bCs/>
                <w:sz w:val="20"/>
                <w:szCs w:val="20"/>
              </w:rPr>
              <w:t>12 824</w:t>
            </w:r>
          </w:p>
        </w:tc>
      </w:tr>
      <w:tr w:rsidR="00557930" w:rsidRPr="0050413F" w14:paraId="00B1D088" w14:textId="77777777" w:rsidTr="0066729B">
        <w:trPr>
          <w:trHeight w:val="360"/>
        </w:trPr>
        <w:tc>
          <w:tcPr>
            <w:tcW w:w="3133" w:type="dxa"/>
            <w:gridSpan w:val="3"/>
            <w:shd w:val="clear" w:color="auto" w:fill="FFFFFF"/>
            <w:vAlign w:val="center"/>
          </w:tcPr>
          <w:p w14:paraId="4DD80954" w14:textId="77777777" w:rsidR="00557930" w:rsidRPr="0050413F" w:rsidRDefault="00557930" w:rsidP="00557930">
            <w:pPr>
              <w:spacing w:line="240" w:lineRule="auto"/>
              <w:rPr>
                <w:rFonts w:ascii="Times New Roman" w:hAnsi="Times New Roman"/>
                <w:color w:val="000000"/>
              </w:rPr>
            </w:pPr>
            <w:r w:rsidRPr="0050413F">
              <w:rPr>
                <w:rFonts w:ascii="Times New Roman" w:hAnsi="Times New Roman"/>
                <w:color w:val="000000"/>
              </w:rPr>
              <w:t>budżet państwa</w:t>
            </w:r>
          </w:p>
        </w:tc>
        <w:tc>
          <w:tcPr>
            <w:tcW w:w="569" w:type="dxa"/>
            <w:gridSpan w:val="3"/>
            <w:shd w:val="clear" w:color="auto" w:fill="FFFFFF"/>
            <w:vAlign w:val="center"/>
          </w:tcPr>
          <w:p w14:paraId="73EABFB1" w14:textId="4323CA4B" w:rsidR="00557930" w:rsidRPr="004F5A9D" w:rsidRDefault="00557930" w:rsidP="0066729B">
            <w:pPr>
              <w:spacing w:line="240" w:lineRule="auto"/>
              <w:ind w:left="-272" w:firstLine="141"/>
              <w:jc w:val="right"/>
              <w:rPr>
                <w:rFonts w:ascii="Times New Roman" w:hAnsi="Times New Roman"/>
                <w:sz w:val="20"/>
                <w:szCs w:val="20"/>
              </w:rPr>
            </w:pPr>
            <w:r w:rsidRPr="004F5A9D">
              <w:rPr>
                <w:sz w:val="20"/>
                <w:szCs w:val="20"/>
              </w:rPr>
              <w:t>-9</w:t>
            </w:r>
          </w:p>
        </w:tc>
        <w:tc>
          <w:tcPr>
            <w:tcW w:w="570" w:type="dxa"/>
            <w:gridSpan w:val="2"/>
            <w:shd w:val="clear" w:color="auto" w:fill="FFFFFF"/>
            <w:vAlign w:val="center"/>
          </w:tcPr>
          <w:p w14:paraId="0FC8E3E3" w14:textId="4F14799C" w:rsidR="00557930" w:rsidRPr="004F5A9D" w:rsidRDefault="00557930" w:rsidP="0066729B">
            <w:pPr>
              <w:spacing w:line="240" w:lineRule="auto"/>
              <w:ind w:left="-272" w:firstLine="141"/>
              <w:jc w:val="right"/>
              <w:rPr>
                <w:rFonts w:ascii="Times New Roman" w:hAnsi="Times New Roman"/>
                <w:sz w:val="20"/>
                <w:szCs w:val="20"/>
              </w:rPr>
            </w:pPr>
            <w:r w:rsidRPr="004F5A9D">
              <w:rPr>
                <w:sz w:val="20"/>
                <w:szCs w:val="20"/>
              </w:rPr>
              <w:t>-9</w:t>
            </w:r>
          </w:p>
        </w:tc>
        <w:tc>
          <w:tcPr>
            <w:tcW w:w="570" w:type="dxa"/>
            <w:gridSpan w:val="3"/>
            <w:shd w:val="clear" w:color="auto" w:fill="FFFFFF"/>
            <w:vAlign w:val="center"/>
          </w:tcPr>
          <w:p w14:paraId="28DB353C" w14:textId="5F8A31C2" w:rsidR="00557930" w:rsidRPr="004F5A9D" w:rsidRDefault="00557930" w:rsidP="0066729B">
            <w:pPr>
              <w:spacing w:line="240" w:lineRule="auto"/>
              <w:ind w:left="-272" w:firstLine="141"/>
              <w:jc w:val="right"/>
              <w:rPr>
                <w:rFonts w:ascii="Times New Roman" w:hAnsi="Times New Roman"/>
                <w:sz w:val="20"/>
                <w:szCs w:val="20"/>
              </w:rPr>
            </w:pPr>
            <w:r w:rsidRPr="004F5A9D">
              <w:rPr>
                <w:sz w:val="20"/>
                <w:szCs w:val="20"/>
              </w:rPr>
              <w:t>-9</w:t>
            </w:r>
          </w:p>
        </w:tc>
        <w:tc>
          <w:tcPr>
            <w:tcW w:w="569" w:type="dxa"/>
            <w:gridSpan w:val="2"/>
            <w:shd w:val="clear" w:color="auto" w:fill="FFFFFF"/>
            <w:vAlign w:val="center"/>
          </w:tcPr>
          <w:p w14:paraId="7C961A5B" w14:textId="53A3C262" w:rsidR="00557930" w:rsidRPr="004F5A9D" w:rsidRDefault="00557930" w:rsidP="0066729B">
            <w:pPr>
              <w:spacing w:line="240" w:lineRule="auto"/>
              <w:ind w:left="-272" w:firstLine="141"/>
              <w:jc w:val="right"/>
              <w:rPr>
                <w:rFonts w:ascii="Times New Roman" w:hAnsi="Times New Roman"/>
                <w:sz w:val="20"/>
                <w:szCs w:val="20"/>
              </w:rPr>
            </w:pPr>
            <w:r w:rsidRPr="004F5A9D">
              <w:rPr>
                <w:sz w:val="20"/>
                <w:szCs w:val="20"/>
              </w:rPr>
              <w:t>-9</w:t>
            </w:r>
          </w:p>
        </w:tc>
        <w:tc>
          <w:tcPr>
            <w:tcW w:w="570" w:type="dxa"/>
            <w:gridSpan w:val="2"/>
            <w:shd w:val="clear" w:color="auto" w:fill="FFFFFF"/>
            <w:vAlign w:val="center"/>
          </w:tcPr>
          <w:p w14:paraId="257E13EA" w14:textId="4C64FA73" w:rsidR="00557930" w:rsidRPr="004F5A9D" w:rsidRDefault="00557930" w:rsidP="0066729B">
            <w:pPr>
              <w:spacing w:line="240" w:lineRule="auto"/>
              <w:ind w:left="-272" w:firstLine="141"/>
              <w:jc w:val="right"/>
              <w:rPr>
                <w:rFonts w:ascii="Times New Roman" w:hAnsi="Times New Roman"/>
                <w:sz w:val="20"/>
                <w:szCs w:val="20"/>
              </w:rPr>
            </w:pPr>
            <w:r w:rsidRPr="004F5A9D">
              <w:rPr>
                <w:sz w:val="20"/>
                <w:szCs w:val="20"/>
              </w:rPr>
              <w:t>-2</w:t>
            </w:r>
          </w:p>
        </w:tc>
        <w:tc>
          <w:tcPr>
            <w:tcW w:w="570" w:type="dxa"/>
            <w:shd w:val="clear" w:color="auto" w:fill="FFFFFF"/>
            <w:vAlign w:val="center"/>
          </w:tcPr>
          <w:p w14:paraId="70CEBF69" w14:textId="58E8E73E" w:rsidR="00557930" w:rsidRPr="004F5A9D" w:rsidRDefault="00557930" w:rsidP="0066729B">
            <w:pPr>
              <w:spacing w:line="240" w:lineRule="auto"/>
              <w:ind w:left="-272" w:firstLine="141"/>
              <w:jc w:val="right"/>
              <w:rPr>
                <w:rFonts w:ascii="Times New Roman" w:hAnsi="Times New Roman"/>
                <w:sz w:val="20"/>
                <w:szCs w:val="20"/>
              </w:rPr>
            </w:pPr>
            <w:r w:rsidRPr="004F5A9D">
              <w:rPr>
                <w:sz w:val="20"/>
                <w:szCs w:val="20"/>
              </w:rPr>
              <w:t>657</w:t>
            </w:r>
          </w:p>
        </w:tc>
        <w:tc>
          <w:tcPr>
            <w:tcW w:w="570" w:type="dxa"/>
            <w:gridSpan w:val="4"/>
            <w:shd w:val="clear" w:color="auto" w:fill="FFFFFF"/>
            <w:vAlign w:val="center"/>
          </w:tcPr>
          <w:p w14:paraId="46922351" w14:textId="79FC0AB7" w:rsidR="00557930" w:rsidRPr="004F5A9D" w:rsidRDefault="00557930" w:rsidP="0066729B">
            <w:pPr>
              <w:spacing w:line="240" w:lineRule="auto"/>
              <w:ind w:left="-272" w:firstLine="141"/>
              <w:jc w:val="right"/>
              <w:rPr>
                <w:rFonts w:ascii="Times New Roman" w:hAnsi="Times New Roman"/>
                <w:sz w:val="20"/>
                <w:szCs w:val="20"/>
              </w:rPr>
            </w:pPr>
            <w:r w:rsidRPr="004F5A9D">
              <w:rPr>
                <w:sz w:val="20"/>
                <w:szCs w:val="20"/>
              </w:rPr>
              <w:t>1 317</w:t>
            </w:r>
          </w:p>
        </w:tc>
        <w:tc>
          <w:tcPr>
            <w:tcW w:w="569" w:type="dxa"/>
            <w:gridSpan w:val="3"/>
            <w:shd w:val="clear" w:color="auto" w:fill="FFFFFF"/>
            <w:vAlign w:val="center"/>
          </w:tcPr>
          <w:p w14:paraId="6F61C426" w14:textId="5533FC79" w:rsidR="00557930" w:rsidRPr="004F5A9D" w:rsidRDefault="00557930" w:rsidP="0066729B">
            <w:pPr>
              <w:spacing w:line="240" w:lineRule="auto"/>
              <w:ind w:left="-272" w:firstLine="141"/>
              <w:jc w:val="right"/>
              <w:rPr>
                <w:rFonts w:ascii="Times New Roman" w:hAnsi="Times New Roman"/>
                <w:sz w:val="20"/>
                <w:szCs w:val="20"/>
              </w:rPr>
            </w:pPr>
            <w:r w:rsidRPr="004F5A9D">
              <w:rPr>
                <w:sz w:val="20"/>
                <w:szCs w:val="20"/>
              </w:rPr>
              <w:t>1 976</w:t>
            </w:r>
          </w:p>
        </w:tc>
        <w:tc>
          <w:tcPr>
            <w:tcW w:w="570" w:type="dxa"/>
            <w:shd w:val="clear" w:color="auto" w:fill="FFFFFF"/>
            <w:vAlign w:val="center"/>
          </w:tcPr>
          <w:p w14:paraId="14AECAF6" w14:textId="4669A0AC" w:rsidR="00557930" w:rsidRPr="004F5A9D" w:rsidRDefault="00557930" w:rsidP="0066729B">
            <w:pPr>
              <w:spacing w:line="240" w:lineRule="auto"/>
              <w:ind w:left="-272" w:firstLine="141"/>
              <w:jc w:val="right"/>
              <w:rPr>
                <w:rFonts w:ascii="Times New Roman" w:hAnsi="Times New Roman"/>
                <w:sz w:val="20"/>
                <w:szCs w:val="20"/>
              </w:rPr>
            </w:pPr>
            <w:r w:rsidRPr="004F5A9D">
              <w:rPr>
                <w:sz w:val="20"/>
                <w:szCs w:val="20"/>
              </w:rPr>
              <w:t>2 636</w:t>
            </w:r>
          </w:p>
        </w:tc>
        <w:tc>
          <w:tcPr>
            <w:tcW w:w="570" w:type="dxa"/>
            <w:gridSpan w:val="2"/>
            <w:shd w:val="clear" w:color="auto" w:fill="FFFFFF"/>
            <w:vAlign w:val="center"/>
          </w:tcPr>
          <w:p w14:paraId="10ACFB3D" w14:textId="5D45C3D8" w:rsidR="00557930" w:rsidRPr="004F5A9D" w:rsidRDefault="00557930" w:rsidP="0066729B">
            <w:pPr>
              <w:spacing w:line="240" w:lineRule="auto"/>
              <w:ind w:left="-272" w:firstLine="141"/>
              <w:jc w:val="right"/>
              <w:rPr>
                <w:rFonts w:ascii="Times New Roman" w:hAnsi="Times New Roman"/>
                <w:sz w:val="20"/>
                <w:szCs w:val="20"/>
              </w:rPr>
            </w:pPr>
            <w:r w:rsidRPr="004F5A9D">
              <w:rPr>
                <w:sz w:val="20"/>
                <w:szCs w:val="20"/>
              </w:rPr>
              <w:t>3 297</w:t>
            </w:r>
          </w:p>
        </w:tc>
        <w:tc>
          <w:tcPr>
            <w:tcW w:w="570" w:type="dxa"/>
            <w:shd w:val="clear" w:color="auto" w:fill="FFFFFF"/>
            <w:vAlign w:val="center"/>
          </w:tcPr>
          <w:p w14:paraId="572F0BA8" w14:textId="58771BBF" w:rsidR="00557930" w:rsidRPr="004F5A9D" w:rsidRDefault="00557930" w:rsidP="0066729B">
            <w:pPr>
              <w:spacing w:line="240" w:lineRule="auto"/>
              <w:ind w:left="-272" w:firstLine="141"/>
              <w:jc w:val="right"/>
              <w:rPr>
                <w:rFonts w:ascii="Times New Roman" w:hAnsi="Times New Roman"/>
                <w:sz w:val="20"/>
                <w:szCs w:val="20"/>
              </w:rPr>
            </w:pPr>
            <w:r w:rsidRPr="004F5A9D">
              <w:rPr>
                <w:sz w:val="20"/>
                <w:szCs w:val="20"/>
              </w:rPr>
              <w:t>3 297</w:t>
            </w:r>
          </w:p>
        </w:tc>
        <w:tc>
          <w:tcPr>
            <w:tcW w:w="1547" w:type="dxa"/>
            <w:gridSpan w:val="3"/>
            <w:shd w:val="clear" w:color="auto" w:fill="FFFFFF"/>
            <w:vAlign w:val="center"/>
          </w:tcPr>
          <w:p w14:paraId="42DF0439" w14:textId="6C7045E7" w:rsidR="00557930" w:rsidRPr="004F5A9D" w:rsidRDefault="00557930" w:rsidP="0066729B">
            <w:pPr>
              <w:spacing w:line="240" w:lineRule="auto"/>
              <w:ind w:left="-272" w:firstLine="141"/>
              <w:jc w:val="right"/>
              <w:rPr>
                <w:rFonts w:ascii="Times New Roman" w:hAnsi="Times New Roman"/>
                <w:sz w:val="20"/>
                <w:szCs w:val="20"/>
              </w:rPr>
            </w:pPr>
            <w:r w:rsidRPr="004F5A9D">
              <w:rPr>
                <w:sz w:val="20"/>
                <w:szCs w:val="20"/>
              </w:rPr>
              <w:t>13 143</w:t>
            </w:r>
          </w:p>
        </w:tc>
      </w:tr>
      <w:tr w:rsidR="00557930" w:rsidRPr="0050413F" w14:paraId="0589DCD7" w14:textId="77777777" w:rsidTr="0066729B">
        <w:trPr>
          <w:trHeight w:val="344"/>
        </w:trPr>
        <w:tc>
          <w:tcPr>
            <w:tcW w:w="3133" w:type="dxa"/>
            <w:gridSpan w:val="3"/>
            <w:shd w:val="clear" w:color="auto" w:fill="FFFFFF"/>
            <w:vAlign w:val="center"/>
          </w:tcPr>
          <w:p w14:paraId="4099B25F" w14:textId="77777777" w:rsidR="00557930" w:rsidRPr="0050413F" w:rsidRDefault="00557930" w:rsidP="00557930">
            <w:pPr>
              <w:spacing w:line="240" w:lineRule="auto"/>
              <w:rPr>
                <w:rFonts w:ascii="Times New Roman" w:hAnsi="Times New Roman"/>
                <w:color w:val="000000"/>
              </w:rPr>
            </w:pPr>
            <w:r w:rsidRPr="0050413F">
              <w:rPr>
                <w:rFonts w:ascii="Times New Roman" w:hAnsi="Times New Roman"/>
                <w:color w:val="000000"/>
              </w:rPr>
              <w:t>Urząd Dozoru Technicznego</w:t>
            </w:r>
          </w:p>
        </w:tc>
        <w:tc>
          <w:tcPr>
            <w:tcW w:w="569" w:type="dxa"/>
            <w:gridSpan w:val="3"/>
            <w:shd w:val="clear" w:color="auto" w:fill="FFFFFF"/>
            <w:vAlign w:val="center"/>
          </w:tcPr>
          <w:p w14:paraId="635CAC7E" w14:textId="2A368EC1" w:rsidR="00557930" w:rsidRPr="004F5A9D" w:rsidRDefault="00557930" w:rsidP="0066729B">
            <w:pPr>
              <w:spacing w:line="240" w:lineRule="auto"/>
              <w:ind w:left="-272" w:firstLine="141"/>
              <w:jc w:val="right"/>
              <w:rPr>
                <w:sz w:val="20"/>
                <w:szCs w:val="20"/>
              </w:rPr>
            </w:pPr>
            <w:r w:rsidRPr="004F5A9D">
              <w:rPr>
                <w:sz w:val="20"/>
                <w:szCs w:val="20"/>
              </w:rPr>
              <w:t>-0,1</w:t>
            </w:r>
          </w:p>
        </w:tc>
        <w:tc>
          <w:tcPr>
            <w:tcW w:w="570" w:type="dxa"/>
            <w:gridSpan w:val="2"/>
            <w:shd w:val="clear" w:color="auto" w:fill="FFFFFF"/>
            <w:vAlign w:val="center"/>
          </w:tcPr>
          <w:p w14:paraId="75525C19" w14:textId="0A0F41E2" w:rsidR="00557930" w:rsidRPr="004F5A9D" w:rsidRDefault="00557930" w:rsidP="0066729B">
            <w:pPr>
              <w:spacing w:line="240" w:lineRule="auto"/>
              <w:ind w:left="-272" w:firstLine="141"/>
              <w:jc w:val="right"/>
              <w:rPr>
                <w:sz w:val="20"/>
                <w:szCs w:val="20"/>
              </w:rPr>
            </w:pPr>
            <w:r w:rsidRPr="004F5A9D">
              <w:rPr>
                <w:sz w:val="20"/>
                <w:szCs w:val="20"/>
              </w:rPr>
              <w:t>0,1</w:t>
            </w:r>
          </w:p>
        </w:tc>
        <w:tc>
          <w:tcPr>
            <w:tcW w:w="570" w:type="dxa"/>
            <w:gridSpan w:val="3"/>
            <w:shd w:val="clear" w:color="auto" w:fill="FFFFFF"/>
            <w:vAlign w:val="center"/>
          </w:tcPr>
          <w:p w14:paraId="73A434B9" w14:textId="065F1E52" w:rsidR="00557930" w:rsidRPr="004F5A9D" w:rsidRDefault="00557930" w:rsidP="0066729B">
            <w:pPr>
              <w:spacing w:line="240" w:lineRule="auto"/>
              <w:ind w:left="-272" w:firstLine="141"/>
              <w:jc w:val="right"/>
              <w:rPr>
                <w:sz w:val="20"/>
                <w:szCs w:val="20"/>
              </w:rPr>
            </w:pPr>
            <w:r w:rsidRPr="004F5A9D">
              <w:rPr>
                <w:sz w:val="20"/>
                <w:szCs w:val="20"/>
              </w:rPr>
              <w:t>0,2</w:t>
            </w:r>
          </w:p>
        </w:tc>
        <w:tc>
          <w:tcPr>
            <w:tcW w:w="569" w:type="dxa"/>
            <w:gridSpan w:val="2"/>
            <w:shd w:val="clear" w:color="auto" w:fill="FFFFFF"/>
            <w:vAlign w:val="center"/>
          </w:tcPr>
          <w:p w14:paraId="7D8790F8" w14:textId="0A1AF181" w:rsidR="00557930" w:rsidRPr="004F5A9D" w:rsidRDefault="00557930" w:rsidP="0066729B">
            <w:pPr>
              <w:spacing w:line="240" w:lineRule="auto"/>
              <w:ind w:left="-272" w:firstLine="141"/>
              <w:jc w:val="right"/>
              <w:rPr>
                <w:sz w:val="20"/>
                <w:szCs w:val="20"/>
              </w:rPr>
            </w:pPr>
            <w:r w:rsidRPr="004F5A9D">
              <w:rPr>
                <w:sz w:val="20"/>
                <w:szCs w:val="20"/>
              </w:rPr>
              <w:t>0,3</w:t>
            </w:r>
          </w:p>
        </w:tc>
        <w:tc>
          <w:tcPr>
            <w:tcW w:w="570" w:type="dxa"/>
            <w:gridSpan w:val="2"/>
            <w:shd w:val="clear" w:color="auto" w:fill="FFFFFF"/>
            <w:vAlign w:val="center"/>
          </w:tcPr>
          <w:p w14:paraId="54D16C5C" w14:textId="46AFA0CE" w:rsidR="00557930" w:rsidRPr="004F5A9D" w:rsidRDefault="00557930" w:rsidP="0066729B">
            <w:pPr>
              <w:spacing w:line="240" w:lineRule="auto"/>
              <w:ind w:left="-272" w:firstLine="141"/>
              <w:jc w:val="right"/>
              <w:rPr>
                <w:rFonts w:ascii="Times New Roman" w:hAnsi="Times New Roman"/>
                <w:sz w:val="20"/>
                <w:szCs w:val="20"/>
              </w:rPr>
            </w:pPr>
            <w:r w:rsidRPr="004F5A9D">
              <w:rPr>
                <w:sz w:val="20"/>
                <w:szCs w:val="20"/>
              </w:rPr>
              <w:t>0</w:t>
            </w:r>
          </w:p>
        </w:tc>
        <w:tc>
          <w:tcPr>
            <w:tcW w:w="570" w:type="dxa"/>
            <w:shd w:val="clear" w:color="auto" w:fill="FFFFFF"/>
            <w:vAlign w:val="center"/>
          </w:tcPr>
          <w:p w14:paraId="0136DF6A" w14:textId="5AB8C87D" w:rsidR="00557930" w:rsidRPr="004F5A9D" w:rsidRDefault="00557930" w:rsidP="0066729B">
            <w:pPr>
              <w:spacing w:line="240" w:lineRule="auto"/>
              <w:ind w:left="-272" w:firstLine="141"/>
              <w:jc w:val="right"/>
              <w:rPr>
                <w:rFonts w:ascii="Times New Roman" w:hAnsi="Times New Roman"/>
                <w:sz w:val="20"/>
                <w:szCs w:val="20"/>
              </w:rPr>
            </w:pPr>
            <w:r w:rsidRPr="004F5A9D">
              <w:rPr>
                <w:sz w:val="20"/>
                <w:szCs w:val="20"/>
              </w:rPr>
              <w:t>0</w:t>
            </w:r>
          </w:p>
        </w:tc>
        <w:tc>
          <w:tcPr>
            <w:tcW w:w="570" w:type="dxa"/>
            <w:gridSpan w:val="4"/>
            <w:shd w:val="clear" w:color="auto" w:fill="FFFFFF"/>
            <w:vAlign w:val="center"/>
          </w:tcPr>
          <w:p w14:paraId="31259EC1" w14:textId="7DF05273" w:rsidR="00557930" w:rsidRPr="004F5A9D" w:rsidRDefault="00557930" w:rsidP="0066729B">
            <w:pPr>
              <w:spacing w:line="240" w:lineRule="auto"/>
              <w:ind w:left="-272" w:firstLine="141"/>
              <w:jc w:val="right"/>
              <w:rPr>
                <w:rFonts w:ascii="Times New Roman" w:hAnsi="Times New Roman"/>
                <w:sz w:val="20"/>
                <w:szCs w:val="20"/>
              </w:rPr>
            </w:pPr>
            <w:r w:rsidRPr="004F5A9D">
              <w:rPr>
                <w:sz w:val="20"/>
                <w:szCs w:val="20"/>
              </w:rPr>
              <w:t>0</w:t>
            </w:r>
          </w:p>
        </w:tc>
        <w:tc>
          <w:tcPr>
            <w:tcW w:w="569" w:type="dxa"/>
            <w:gridSpan w:val="3"/>
            <w:shd w:val="clear" w:color="auto" w:fill="FFFFFF"/>
            <w:vAlign w:val="center"/>
          </w:tcPr>
          <w:p w14:paraId="0B482344" w14:textId="07980D54" w:rsidR="00557930" w:rsidRPr="004F5A9D" w:rsidRDefault="00557930" w:rsidP="0066729B">
            <w:pPr>
              <w:spacing w:line="240" w:lineRule="auto"/>
              <w:ind w:left="-272" w:firstLine="141"/>
              <w:jc w:val="right"/>
              <w:rPr>
                <w:rFonts w:ascii="Times New Roman" w:hAnsi="Times New Roman"/>
                <w:sz w:val="20"/>
                <w:szCs w:val="20"/>
              </w:rPr>
            </w:pPr>
            <w:r w:rsidRPr="004F5A9D">
              <w:rPr>
                <w:sz w:val="20"/>
                <w:szCs w:val="20"/>
              </w:rPr>
              <w:t>0</w:t>
            </w:r>
          </w:p>
        </w:tc>
        <w:tc>
          <w:tcPr>
            <w:tcW w:w="570" w:type="dxa"/>
            <w:shd w:val="clear" w:color="auto" w:fill="FFFFFF"/>
            <w:vAlign w:val="center"/>
          </w:tcPr>
          <w:p w14:paraId="697D9BD0" w14:textId="6F43F341" w:rsidR="00557930" w:rsidRPr="004F5A9D" w:rsidRDefault="00557930" w:rsidP="0066729B">
            <w:pPr>
              <w:spacing w:line="240" w:lineRule="auto"/>
              <w:ind w:left="-272" w:firstLine="141"/>
              <w:jc w:val="right"/>
              <w:rPr>
                <w:rFonts w:ascii="Times New Roman" w:hAnsi="Times New Roman"/>
                <w:sz w:val="20"/>
                <w:szCs w:val="20"/>
              </w:rPr>
            </w:pPr>
            <w:r w:rsidRPr="004F5A9D">
              <w:rPr>
                <w:sz w:val="20"/>
                <w:szCs w:val="20"/>
              </w:rPr>
              <w:t>0</w:t>
            </w:r>
          </w:p>
        </w:tc>
        <w:tc>
          <w:tcPr>
            <w:tcW w:w="570" w:type="dxa"/>
            <w:gridSpan w:val="2"/>
            <w:shd w:val="clear" w:color="auto" w:fill="FFFFFF"/>
            <w:vAlign w:val="center"/>
          </w:tcPr>
          <w:p w14:paraId="12CF7449" w14:textId="1CD7F71B" w:rsidR="00557930" w:rsidRPr="004F5A9D" w:rsidRDefault="00557930" w:rsidP="0066729B">
            <w:pPr>
              <w:spacing w:line="240" w:lineRule="auto"/>
              <w:ind w:left="-272" w:firstLine="141"/>
              <w:jc w:val="right"/>
              <w:rPr>
                <w:rFonts w:ascii="Times New Roman" w:hAnsi="Times New Roman"/>
                <w:sz w:val="20"/>
                <w:szCs w:val="20"/>
              </w:rPr>
            </w:pPr>
            <w:r w:rsidRPr="004F5A9D">
              <w:rPr>
                <w:sz w:val="20"/>
                <w:szCs w:val="20"/>
              </w:rPr>
              <w:t>0</w:t>
            </w:r>
          </w:p>
        </w:tc>
        <w:tc>
          <w:tcPr>
            <w:tcW w:w="570" w:type="dxa"/>
            <w:shd w:val="clear" w:color="auto" w:fill="FFFFFF"/>
            <w:vAlign w:val="center"/>
          </w:tcPr>
          <w:p w14:paraId="3BACDE1A" w14:textId="242F8F44" w:rsidR="00557930" w:rsidRPr="004F5A9D" w:rsidRDefault="00557930" w:rsidP="0066729B">
            <w:pPr>
              <w:spacing w:line="240" w:lineRule="auto"/>
              <w:ind w:left="-272" w:firstLine="141"/>
              <w:jc w:val="right"/>
              <w:rPr>
                <w:rFonts w:ascii="Times New Roman" w:hAnsi="Times New Roman"/>
                <w:sz w:val="20"/>
                <w:szCs w:val="20"/>
              </w:rPr>
            </w:pPr>
            <w:r w:rsidRPr="004F5A9D">
              <w:rPr>
                <w:sz w:val="20"/>
                <w:szCs w:val="20"/>
              </w:rPr>
              <w:t>0</w:t>
            </w:r>
          </w:p>
        </w:tc>
        <w:tc>
          <w:tcPr>
            <w:tcW w:w="1547" w:type="dxa"/>
            <w:gridSpan w:val="3"/>
            <w:shd w:val="clear" w:color="auto" w:fill="FFFFFF"/>
            <w:vAlign w:val="center"/>
          </w:tcPr>
          <w:p w14:paraId="71D14D28" w14:textId="4F97EFFB" w:rsidR="00557930" w:rsidRPr="004F5A9D" w:rsidRDefault="00557930" w:rsidP="0066729B">
            <w:pPr>
              <w:spacing w:line="240" w:lineRule="auto"/>
              <w:ind w:left="-272" w:firstLine="141"/>
              <w:jc w:val="right"/>
              <w:rPr>
                <w:rFonts w:ascii="Times New Roman" w:hAnsi="Times New Roman"/>
                <w:sz w:val="20"/>
                <w:szCs w:val="20"/>
              </w:rPr>
            </w:pPr>
            <w:r w:rsidRPr="004F5A9D">
              <w:rPr>
                <w:sz w:val="20"/>
                <w:szCs w:val="20"/>
              </w:rPr>
              <w:t>0</w:t>
            </w:r>
            <w:r w:rsidRPr="0066729B">
              <w:rPr>
                <w:sz w:val="20"/>
                <w:szCs w:val="20"/>
              </w:rPr>
              <w:t>,5</w:t>
            </w:r>
          </w:p>
        </w:tc>
      </w:tr>
      <w:tr w:rsidR="00557930" w:rsidRPr="0050413F" w14:paraId="2E74DB77" w14:textId="77777777" w:rsidTr="0066729B">
        <w:trPr>
          <w:trHeight w:val="357"/>
        </w:trPr>
        <w:tc>
          <w:tcPr>
            <w:tcW w:w="3133" w:type="dxa"/>
            <w:gridSpan w:val="3"/>
            <w:shd w:val="clear" w:color="auto" w:fill="FFFFFF"/>
            <w:vAlign w:val="center"/>
          </w:tcPr>
          <w:p w14:paraId="527783C6" w14:textId="3AF14762" w:rsidR="00557930" w:rsidRPr="0050413F" w:rsidRDefault="00557930" w:rsidP="0066729B">
            <w:pPr>
              <w:spacing w:line="240" w:lineRule="auto"/>
              <w:rPr>
                <w:rFonts w:ascii="Times New Roman" w:hAnsi="Times New Roman"/>
                <w:color w:val="000000"/>
              </w:rPr>
            </w:pPr>
            <w:r>
              <w:rPr>
                <w:rFonts w:ascii="Times New Roman" w:hAnsi="Times New Roman"/>
                <w:color w:val="000000"/>
              </w:rPr>
              <w:t>jednostki samorządu terytorialnego</w:t>
            </w:r>
          </w:p>
        </w:tc>
        <w:tc>
          <w:tcPr>
            <w:tcW w:w="569" w:type="dxa"/>
            <w:gridSpan w:val="3"/>
            <w:shd w:val="clear" w:color="auto" w:fill="FFFFFF"/>
            <w:vAlign w:val="center"/>
          </w:tcPr>
          <w:p w14:paraId="4E0724A3" w14:textId="5A6D4880" w:rsidR="00557930" w:rsidRPr="004F5A9D" w:rsidRDefault="00557930" w:rsidP="0066729B">
            <w:pPr>
              <w:spacing w:line="240" w:lineRule="auto"/>
              <w:jc w:val="right"/>
              <w:rPr>
                <w:rFonts w:ascii="Times New Roman" w:hAnsi="Times New Roman"/>
                <w:color w:val="000000"/>
                <w:sz w:val="20"/>
                <w:szCs w:val="20"/>
              </w:rPr>
            </w:pPr>
            <w:r w:rsidRPr="004F5A9D">
              <w:rPr>
                <w:sz w:val="20"/>
                <w:szCs w:val="20"/>
              </w:rPr>
              <w:t>-80</w:t>
            </w:r>
          </w:p>
        </w:tc>
        <w:tc>
          <w:tcPr>
            <w:tcW w:w="570" w:type="dxa"/>
            <w:gridSpan w:val="2"/>
            <w:shd w:val="clear" w:color="auto" w:fill="FFFFFF"/>
            <w:vAlign w:val="center"/>
          </w:tcPr>
          <w:p w14:paraId="031555AA" w14:textId="1C5E113B" w:rsidR="00557930" w:rsidRPr="004F5A9D" w:rsidRDefault="00557930" w:rsidP="0066729B">
            <w:pPr>
              <w:spacing w:line="240" w:lineRule="auto"/>
              <w:jc w:val="right"/>
              <w:rPr>
                <w:rFonts w:ascii="Times New Roman" w:hAnsi="Times New Roman"/>
                <w:color w:val="000000"/>
                <w:sz w:val="20"/>
                <w:szCs w:val="20"/>
              </w:rPr>
            </w:pPr>
            <w:r w:rsidRPr="004F5A9D">
              <w:rPr>
                <w:sz w:val="20"/>
                <w:szCs w:val="20"/>
              </w:rPr>
              <w:t>-80</w:t>
            </w:r>
          </w:p>
        </w:tc>
        <w:tc>
          <w:tcPr>
            <w:tcW w:w="570" w:type="dxa"/>
            <w:gridSpan w:val="3"/>
            <w:shd w:val="clear" w:color="auto" w:fill="FFFFFF"/>
            <w:vAlign w:val="center"/>
          </w:tcPr>
          <w:p w14:paraId="64840311" w14:textId="0B7FBBFA" w:rsidR="00557930" w:rsidRPr="004F5A9D" w:rsidRDefault="00557930" w:rsidP="0066729B">
            <w:pPr>
              <w:spacing w:line="240" w:lineRule="auto"/>
              <w:jc w:val="right"/>
              <w:rPr>
                <w:rFonts w:ascii="Times New Roman" w:hAnsi="Times New Roman"/>
                <w:color w:val="000000"/>
                <w:sz w:val="20"/>
                <w:szCs w:val="20"/>
              </w:rPr>
            </w:pPr>
            <w:r w:rsidRPr="004F5A9D">
              <w:rPr>
                <w:sz w:val="20"/>
                <w:szCs w:val="20"/>
              </w:rPr>
              <w:t>-80</w:t>
            </w:r>
          </w:p>
        </w:tc>
        <w:tc>
          <w:tcPr>
            <w:tcW w:w="569" w:type="dxa"/>
            <w:gridSpan w:val="2"/>
            <w:shd w:val="clear" w:color="auto" w:fill="FFFFFF"/>
            <w:vAlign w:val="center"/>
          </w:tcPr>
          <w:p w14:paraId="377698BE" w14:textId="471193DA" w:rsidR="00557930" w:rsidRPr="004F5A9D" w:rsidRDefault="00557930" w:rsidP="0066729B">
            <w:pPr>
              <w:spacing w:line="240" w:lineRule="auto"/>
              <w:jc w:val="right"/>
              <w:rPr>
                <w:rFonts w:ascii="Times New Roman" w:hAnsi="Times New Roman"/>
                <w:color w:val="000000"/>
                <w:sz w:val="20"/>
                <w:szCs w:val="20"/>
              </w:rPr>
            </w:pPr>
            <w:r w:rsidRPr="004F5A9D">
              <w:rPr>
                <w:sz w:val="20"/>
                <w:szCs w:val="20"/>
              </w:rPr>
              <w:t>-80</w:t>
            </w:r>
          </w:p>
        </w:tc>
        <w:tc>
          <w:tcPr>
            <w:tcW w:w="570" w:type="dxa"/>
            <w:gridSpan w:val="2"/>
            <w:shd w:val="clear" w:color="auto" w:fill="FFFFFF"/>
            <w:vAlign w:val="center"/>
          </w:tcPr>
          <w:p w14:paraId="5BCE7B47" w14:textId="2F4CEB15" w:rsidR="00557930" w:rsidRPr="004F5A9D" w:rsidRDefault="00557930" w:rsidP="0066729B">
            <w:pPr>
              <w:spacing w:line="240" w:lineRule="auto"/>
              <w:jc w:val="right"/>
              <w:rPr>
                <w:rFonts w:ascii="Times New Roman" w:hAnsi="Times New Roman"/>
                <w:color w:val="000000"/>
                <w:sz w:val="20"/>
                <w:szCs w:val="20"/>
              </w:rPr>
            </w:pPr>
            <w:r w:rsidRPr="004F5A9D">
              <w:rPr>
                <w:sz w:val="20"/>
                <w:szCs w:val="20"/>
              </w:rPr>
              <w:t>0</w:t>
            </w:r>
          </w:p>
        </w:tc>
        <w:tc>
          <w:tcPr>
            <w:tcW w:w="570" w:type="dxa"/>
            <w:shd w:val="clear" w:color="auto" w:fill="FFFFFF"/>
            <w:vAlign w:val="center"/>
          </w:tcPr>
          <w:p w14:paraId="1B5C2CDC" w14:textId="0E5ED94A" w:rsidR="00557930" w:rsidRPr="004F5A9D" w:rsidRDefault="00557930" w:rsidP="0066729B">
            <w:pPr>
              <w:spacing w:line="240" w:lineRule="auto"/>
              <w:jc w:val="right"/>
              <w:rPr>
                <w:rFonts w:ascii="Times New Roman" w:hAnsi="Times New Roman"/>
                <w:color w:val="000000"/>
                <w:sz w:val="20"/>
                <w:szCs w:val="20"/>
              </w:rPr>
            </w:pPr>
            <w:r w:rsidRPr="004F5A9D">
              <w:rPr>
                <w:sz w:val="20"/>
                <w:szCs w:val="20"/>
              </w:rPr>
              <w:t>0</w:t>
            </w:r>
          </w:p>
        </w:tc>
        <w:tc>
          <w:tcPr>
            <w:tcW w:w="570" w:type="dxa"/>
            <w:gridSpan w:val="4"/>
            <w:shd w:val="clear" w:color="auto" w:fill="FFFFFF"/>
            <w:vAlign w:val="center"/>
          </w:tcPr>
          <w:p w14:paraId="3A31B423" w14:textId="33AFB855" w:rsidR="00557930" w:rsidRPr="004F5A9D" w:rsidRDefault="00557930" w:rsidP="0066729B">
            <w:pPr>
              <w:spacing w:line="240" w:lineRule="auto"/>
              <w:jc w:val="right"/>
              <w:rPr>
                <w:rFonts w:ascii="Times New Roman" w:hAnsi="Times New Roman"/>
                <w:color w:val="000000"/>
                <w:sz w:val="20"/>
                <w:szCs w:val="20"/>
              </w:rPr>
            </w:pPr>
            <w:r w:rsidRPr="004F5A9D">
              <w:rPr>
                <w:sz w:val="20"/>
                <w:szCs w:val="20"/>
              </w:rPr>
              <w:t>0</w:t>
            </w:r>
          </w:p>
        </w:tc>
        <w:tc>
          <w:tcPr>
            <w:tcW w:w="569" w:type="dxa"/>
            <w:gridSpan w:val="3"/>
            <w:shd w:val="clear" w:color="auto" w:fill="FFFFFF"/>
            <w:vAlign w:val="center"/>
          </w:tcPr>
          <w:p w14:paraId="1FD86FBE" w14:textId="5559B39B" w:rsidR="00557930" w:rsidRPr="004F5A9D" w:rsidRDefault="00557930" w:rsidP="0066729B">
            <w:pPr>
              <w:spacing w:line="240" w:lineRule="auto"/>
              <w:jc w:val="right"/>
              <w:rPr>
                <w:rFonts w:ascii="Times New Roman" w:hAnsi="Times New Roman"/>
                <w:color w:val="000000"/>
                <w:sz w:val="20"/>
                <w:szCs w:val="20"/>
              </w:rPr>
            </w:pPr>
            <w:r w:rsidRPr="004F5A9D">
              <w:rPr>
                <w:sz w:val="20"/>
                <w:szCs w:val="20"/>
              </w:rPr>
              <w:t>0</w:t>
            </w:r>
          </w:p>
        </w:tc>
        <w:tc>
          <w:tcPr>
            <w:tcW w:w="570" w:type="dxa"/>
            <w:shd w:val="clear" w:color="auto" w:fill="FFFFFF"/>
            <w:vAlign w:val="center"/>
          </w:tcPr>
          <w:p w14:paraId="4D439B5F" w14:textId="1ABD5DDC" w:rsidR="00557930" w:rsidRPr="004F5A9D" w:rsidRDefault="00557930" w:rsidP="0066729B">
            <w:pPr>
              <w:spacing w:line="240" w:lineRule="auto"/>
              <w:jc w:val="right"/>
              <w:rPr>
                <w:rFonts w:ascii="Times New Roman" w:hAnsi="Times New Roman"/>
                <w:color w:val="000000"/>
                <w:sz w:val="20"/>
                <w:szCs w:val="20"/>
              </w:rPr>
            </w:pPr>
            <w:r w:rsidRPr="004F5A9D">
              <w:rPr>
                <w:sz w:val="20"/>
                <w:szCs w:val="20"/>
              </w:rPr>
              <w:t>0</w:t>
            </w:r>
          </w:p>
        </w:tc>
        <w:tc>
          <w:tcPr>
            <w:tcW w:w="570" w:type="dxa"/>
            <w:gridSpan w:val="2"/>
            <w:shd w:val="clear" w:color="auto" w:fill="FFFFFF"/>
            <w:vAlign w:val="center"/>
          </w:tcPr>
          <w:p w14:paraId="35AC7310" w14:textId="73FBA13D" w:rsidR="00557930" w:rsidRPr="004F5A9D" w:rsidRDefault="00557930" w:rsidP="0066729B">
            <w:pPr>
              <w:spacing w:line="240" w:lineRule="auto"/>
              <w:jc w:val="right"/>
              <w:rPr>
                <w:rFonts w:ascii="Times New Roman" w:hAnsi="Times New Roman"/>
                <w:color w:val="000000"/>
                <w:sz w:val="20"/>
                <w:szCs w:val="20"/>
              </w:rPr>
            </w:pPr>
            <w:r w:rsidRPr="004F5A9D">
              <w:rPr>
                <w:sz w:val="20"/>
                <w:szCs w:val="20"/>
              </w:rPr>
              <w:t>0</w:t>
            </w:r>
          </w:p>
        </w:tc>
        <w:tc>
          <w:tcPr>
            <w:tcW w:w="570" w:type="dxa"/>
            <w:shd w:val="clear" w:color="auto" w:fill="FFFFFF"/>
            <w:vAlign w:val="center"/>
          </w:tcPr>
          <w:p w14:paraId="33C707B4" w14:textId="2E0C5FA4" w:rsidR="00557930" w:rsidRPr="004F5A9D" w:rsidRDefault="00557930" w:rsidP="0066729B">
            <w:pPr>
              <w:spacing w:line="240" w:lineRule="auto"/>
              <w:jc w:val="right"/>
              <w:rPr>
                <w:rFonts w:ascii="Times New Roman" w:hAnsi="Times New Roman"/>
                <w:color w:val="000000"/>
                <w:sz w:val="20"/>
                <w:szCs w:val="20"/>
              </w:rPr>
            </w:pPr>
            <w:r w:rsidRPr="004F5A9D">
              <w:rPr>
                <w:sz w:val="20"/>
                <w:szCs w:val="20"/>
              </w:rPr>
              <w:t>0</w:t>
            </w:r>
          </w:p>
        </w:tc>
        <w:tc>
          <w:tcPr>
            <w:tcW w:w="1547" w:type="dxa"/>
            <w:gridSpan w:val="3"/>
            <w:shd w:val="clear" w:color="auto" w:fill="FFFFFF"/>
            <w:vAlign w:val="center"/>
          </w:tcPr>
          <w:p w14:paraId="757F4487" w14:textId="2ED74066" w:rsidR="00557930" w:rsidRPr="004F5A9D" w:rsidRDefault="00557930" w:rsidP="0066729B">
            <w:pPr>
              <w:spacing w:line="240" w:lineRule="auto"/>
              <w:jc w:val="right"/>
              <w:rPr>
                <w:rFonts w:ascii="Times New Roman" w:hAnsi="Times New Roman"/>
                <w:color w:val="000000"/>
                <w:sz w:val="20"/>
                <w:szCs w:val="20"/>
              </w:rPr>
            </w:pPr>
            <w:r w:rsidRPr="004F5A9D">
              <w:rPr>
                <w:sz w:val="20"/>
                <w:szCs w:val="20"/>
              </w:rPr>
              <w:t>-320</w:t>
            </w:r>
          </w:p>
        </w:tc>
      </w:tr>
      <w:tr w:rsidR="006C4216" w:rsidRPr="0050413F" w14:paraId="539D0FB7" w14:textId="77777777" w:rsidTr="0066729B">
        <w:trPr>
          <w:trHeight w:val="357"/>
        </w:trPr>
        <w:tc>
          <w:tcPr>
            <w:tcW w:w="3133" w:type="dxa"/>
            <w:gridSpan w:val="3"/>
            <w:shd w:val="clear" w:color="auto" w:fill="FFFFFF"/>
            <w:vAlign w:val="center"/>
          </w:tcPr>
          <w:p w14:paraId="541437C6"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pozostałe jednostki (oddzielnie)</w:t>
            </w:r>
          </w:p>
        </w:tc>
        <w:tc>
          <w:tcPr>
            <w:tcW w:w="569" w:type="dxa"/>
            <w:gridSpan w:val="3"/>
            <w:shd w:val="clear" w:color="auto" w:fill="FFFFFF"/>
            <w:vAlign w:val="center"/>
          </w:tcPr>
          <w:p w14:paraId="26AC9513" w14:textId="77777777" w:rsidR="002E5FFA" w:rsidRPr="004F5A9D" w:rsidRDefault="002E5FFA" w:rsidP="0066729B">
            <w:pPr>
              <w:spacing w:line="240" w:lineRule="auto"/>
              <w:jc w:val="right"/>
              <w:rPr>
                <w:rFonts w:ascii="Times New Roman" w:hAnsi="Times New Roman"/>
                <w:color w:val="000000"/>
                <w:sz w:val="20"/>
                <w:szCs w:val="20"/>
              </w:rPr>
            </w:pPr>
          </w:p>
        </w:tc>
        <w:tc>
          <w:tcPr>
            <w:tcW w:w="570" w:type="dxa"/>
            <w:gridSpan w:val="2"/>
            <w:shd w:val="clear" w:color="auto" w:fill="FFFFFF"/>
            <w:vAlign w:val="center"/>
          </w:tcPr>
          <w:p w14:paraId="45DFD431" w14:textId="77777777" w:rsidR="002E5FFA" w:rsidRPr="004F5A9D" w:rsidRDefault="002E5FFA" w:rsidP="0066729B">
            <w:pPr>
              <w:spacing w:line="240" w:lineRule="auto"/>
              <w:jc w:val="right"/>
              <w:rPr>
                <w:rFonts w:ascii="Times New Roman" w:hAnsi="Times New Roman"/>
                <w:color w:val="000000"/>
                <w:sz w:val="20"/>
                <w:szCs w:val="20"/>
              </w:rPr>
            </w:pPr>
          </w:p>
        </w:tc>
        <w:tc>
          <w:tcPr>
            <w:tcW w:w="570" w:type="dxa"/>
            <w:gridSpan w:val="3"/>
            <w:shd w:val="clear" w:color="auto" w:fill="FFFFFF"/>
            <w:vAlign w:val="center"/>
          </w:tcPr>
          <w:p w14:paraId="36DC30EC" w14:textId="77777777" w:rsidR="002E5FFA" w:rsidRPr="004F5A9D" w:rsidRDefault="002E5FFA" w:rsidP="0066729B">
            <w:pPr>
              <w:spacing w:line="240" w:lineRule="auto"/>
              <w:jc w:val="right"/>
              <w:rPr>
                <w:rFonts w:ascii="Times New Roman" w:hAnsi="Times New Roman"/>
                <w:color w:val="000000"/>
                <w:sz w:val="20"/>
                <w:szCs w:val="20"/>
              </w:rPr>
            </w:pPr>
          </w:p>
        </w:tc>
        <w:tc>
          <w:tcPr>
            <w:tcW w:w="569" w:type="dxa"/>
            <w:gridSpan w:val="2"/>
            <w:shd w:val="clear" w:color="auto" w:fill="FFFFFF"/>
            <w:vAlign w:val="center"/>
          </w:tcPr>
          <w:p w14:paraId="384D8E66" w14:textId="77777777" w:rsidR="002E5FFA" w:rsidRPr="004F5A9D" w:rsidRDefault="002E5FFA" w:rsidP="0066729B">
            <w:pPr>
              <w:spacing w:line="240" w:lineRule="auto"/>
              <w:jc w:val="right"/>
              <w:rPr>
                <w:rFonts w:ascii="Times New Roman" w:hAnsi="Times New Roman"/>
                <w:color w:val="000000"/>
                <w:sz w:val="20"/>
                <w:szCs w:val="20"/>
              </w:rPr>
            </w:pPr>
          </w:p>
        </w:tc>
        <w:tc>
          <w:tcPr>
            <w:tcW w:w="570" w:type="dxa"/>
            <w:gridSpan w:val="2"/>
            <w:shd w:val="clear" w:color="auto" w:fill="FFFFFF"/>
            <w:vAlign w:val="center"/>
          </w:tcPr>
          <w:p w14:paraId="125CAF88" w14:textId="77777777" w:rsidR="002E5FFA" w:rsidRPr="004F5A9D" w:rsidRDefault="002E5FFA" w:rsidP="0066729B">
            <w:pPr>
              <w:spacing w:line="240" w:lineRule="auto"/>
              <w:jc w:val="right"/>
              <w:rPr>
                <w:rFonts w:ascii="Times New Roman" w:hAnsi="Times New Roman"/>
                <w:color w:val="000000"/>
                <w:sz w:val="20"/>
                <w:szCs w:val="20"/>
              </w:rPr>
            </w:pPr>
          </w:p>
        </w:tc>
        <w:tc>
          <w:tcPr>
            <w:tcW w:w="570" w:type="dxa"/>
            <w:shd w:val="clear" w:color="auto" w:fill="FFFFFF"/>
            <w:vAlign w:val="center"/>
          </w:tcPr>
          <w:p w14:paraId="08C6AB08" w14:textId="77777777" w:rsidR="002E5FFA" w:rsidRPr="004F5A9D" w:rsidRDefault="002E5FFA" w:rsidP="0066729B">
            <w:pPr>
              <w:spacing w:line="240" w:lineRule="auto"/>
              <w:jc w:val="right"/>
              <w:rPr>
                <w:rFonts w:ascii="Times New Roman" w:hAnsi="Times New Roman"/>
                <w:color w:val="000000"/>
                <w:sz w:val="20"/>
                <w:szCs w:val="20"/>
              </w:rPr>
            </w:pPr>
          </w:p>
        </w:tc>
        <w:tc>
          <w:tcPr>
            <w:tcW w:w="570" w:type="dxa"/>
            <w:gridSpan w:val="4"/>
            <w:shd w:val="clear" w:color="auto" w:fill="FFFFFF"/>
            <w:vAlign w:val="center"/>
          </w:tcPr>
          <w:p w14:paraId="489C1557" w14:textId="77777777" w:rsidR="002E5FFA" w:rsidRPr="004F5A9D" w:rsidRDefault="002E5FFA" w:rsidP="0066729B">
            <w:pPr>
              <w:spacing w:line="240" w:lineRule="auto"/>
              <w:jc w:val="right"/>
              <w:rPr>
                <w:rFonts w:ascii="Times New Roman" w:hAnsi="Times New Roman"/>
                <w:color w:val="000000"/>
                <w:sz w:val="20"/>
                <w:szCs w:val="20"/>
              </w:rPr>
            </w:pPr>
          </w:p>
        </w:tc>
        <w:tc>
          <w:tcPr>
            <w:tcW w:w="569" w:type="dxa"/>
            <w:gridSpan w:val="3"/>
            <w:shd w:val="clear" w:color="auto" w:fill="FFFFFF"/>
            <w:vAlign w:val="center"/>
          </w:tcPr>
          <w:p w14:paraId="26EB96BB" w14:textId="77777777" w:rsidR="002E5FFA" w:rsidRPr="004F5A9D" w:rsidRDefault="002E5FFA" w:rsidP="0066729B">
            <w:pPr>
              <w:spacing w:line="240" w:lineRule="auto"/>
              <w:jc w:val="right"/>
              <w:rPr>
                <w:rFonts w:ascii="Times New Roman" w:hAnsi="Times New Roman"/>
                <w:color w:val="000000"/>
                <w:sz w:val="20"/>
                <w:szCs w:val="20"/>
              </w:rPr>
            </w:pPr>
          </w:p>
        </w:tc>
        <w:tc>
          <w:tcPr>
            <w:tcW w:w="570" w:type="dxa"/>
            <w:shd w:val="clear" w:color="auto" w:fill="FFFFFF"/>
            <w:vAlign w:val="center"/>
          </w:tcPr>
          <w:p w14:paraId="37023B88" w14:textId="77777777" w:rsidR="002E5FFA" w:rsidRPr="004F5A9D" w:rsidRDefault="002E5FFA" w:rsidP="0066729B">
            <w:pPr>
              <w:spacing w:line="240" w:lineRule="auto"/>
              <w:jc w:val="right"/>
              <w:rPr>
                <w:rFonts w:ascii="Times New Roman" w:hAnsi="Times New Roman"/>
                <w:color w:val="000000"/>
                <w:sz w:val="20"/>
                <w:szCs w:val="20"/>
              </w:rPr>
            </w:pPr>
          </w:p>
        </w:tc>
        <w:tc>
          <w:tcPr>
            <w:tcW w:w="570" w:type="dxa"/>
            <w:gridSpan w:val="2"/>
            <w:shd w:val="clear" w:color="auto" w:fill="FFFFFF"/>
            <w:vAlign w:val="center"/>
          </w:tcPr>
          <w:p w14:paraId="6BB2A1B3" w14:textId="77777777" w:rsidR="002E5FFA" w:rsidRPr="004F5A9D" w:rsidRDefault="002E5FFA" w:rsidP="0066729B">
            <w:pPr>
              <w:spacing w:line="240" w:lineRule="auto"/>
              <w:jc w:val="right"/>
              <w:rPr>
                <w:rFonts w:ascii="Times New Roman" w:hAnsi="Times New Roman"/>
                <w:color w:val="000000"/>
                <w:sz w:val="20"/>
                <w:szCs w:val="20"/>
              </w:rPr>
            </w:pPr>
          </w:p>
        </w:tc>
        <w:tc>
          <w:tcPr>
            <w:tcW w:w="570" w:type="dxa"/>
            <w:shd w:val="clear" w:color="auto" w:fill="FFFFFF"/>
            <w:vAlign w:val="center"/>
          </w:tcPr>
          <w:p w14:paraId="3EF2534D" w14:textId="77777777" w:rsidR="002E5FFA" w:rsidRPr="004F5A9D" w:rsidRDefault="002E5FFA" w:rsidP="0066729B">
            <w:pPr>
              <w:spacing w:line="240" w:lineRule="auto"/>
              <w:jc w:val="right"/>
              <w:rPr>
                <w:rFonts w:ascii="Times New Roman" w:hAnsi="Times New Roman"/>
                <w:color w:val="000000"/>
                <w:sz w:val="20"/>
                <w:szCs w:val="20"/>
              </w:rPr>
            </w:pPr>
          </w:p>
        </w:tc>
        <w:tc>
          <w:tcPr>
            <w:tcW w:w="1547" w:type="dxa"/>
            <w:gridSpan w:val="3"/>
            <w:shd w:val="clear" w:color="auto" w:fill="FFFFFF"/>
            <w:vAlign w:val="center"/>
          </w:tcPr>
          <w:p w14:paraId="717293CD" w14:textId="77777777" w:rsidR="002E5FFA" w:rsidRPr="004F5A9D" w:rsidRDefault="002E5FFA" w:rsidP="0066729B">
            <w:pPr>
              <w:spacing w:line="240" w:lineRule="auto"/>
              <w:jc w:val="right"/>
              <w:rPr>
                <w:rFonts w:ascii="Times New Roman" w:hAnsi="Times New Roman"/>
                <w:color w:val="000000"/>
                <w:sz w:val="20"/>
                <w:szCs w:val="20"/>
              </w:rPr>
            </w:pPr>
          </w:p>
        </w:tc>
      </w:tr>
      <w:tr w:rsidR="002E5FFA" w:rsidRPr="0050413F" w14:paraId="0EA31A93" w14:textId="77777777" w:rsidTr="00676C8D">
        <w:trPr>
          <w:gridAfter w:val="1"/>
          <w:wAfter w:w="10" w:type="dxa"/>
          <w:trHeight w:val="348"/>
        </w:trPr>
        <w:tc>
          <w:tcPr>
            <w:tcW w:w="2243" w:type="dxa"/>
            <w:gridSpan w:val="2"/>
            <w:shd w:val="clear" w:color="auto" w:fill="FFFFFF"/>
            <w:vAlign w:val="center"/>
          </w:tcPr>
          <w:p w14:paraId="4B70BD37"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 xml:space="preserve">Źródła finansowania </w:t>
            </w:r>
          </w:p>
        </w:tc>
        <w:tc>
          <w:tcPr>
            <w:tcW w:w="8694" w:type="dxa"/>
            <w:gridSpan w:val="27"/>
            <w:shd w:val="clear" w:color="auto" w:fill="FFFFFF"/>
            <w:vAlign w:val="center"/>
          </w:tcPr>
          <w:p w14:paraId="00DD0E31" w14:textId="55EF394D" w:rsidR="004F5A9D" w:rsidRDefault="002E5FFA" w:rsidP="004F5A9D">
            <w:pPr>
              <w:pStyle w:val="Akapitzlist"/>
              <w:spacing w:line="240" w:lineRule="auto"/>
              <w:ind w:left="0"/>
              <w:jc w:val="both"/>
              <w:rPr>
                <w:highlight w:val="yellow"/>
              </w:rPr>
            </w:pPr>
            <w:r w:rsidRPr="0050413F">
              <w:rPr>
                <w:rFonts w:ascii="Times New Roman" w:hAnsi="Times New Roman"/>
                <w:color w:val="000000"/>
                <w:spacing w:val="-2"/>
              </w:rPr>
              <w:t xml:space="preserve">Finansowanie </w:t>
            </w:r>
            <w:r w:rsidR="008C2523">
              <w:rPr>
                <w:rFonts w:ascii="Times New Roman" w:hAnsi="Times New Roman"/>
                <w:color w:val="000000"/>
                <w:spacing w:val="-2"/>
              </w:rPr>
              <w:t xml:space="preserve">wymiany floty na niskoemisyjną </w:t>
            </w:r>
            <w:r w:rsidRPr="0050413F">
              <w:rPr>
                <w:rFonts w:ascii="Times New Roman" w:hAnsi="Times New Roman"/>
                <w:color w:val="000000"/>
                <w:spacing w:val="-2"/>
              </w:rPr>
              <w:t>planowane jest z ukierunkowanych środków wsparcia na zakup ekologicznie czystych pojazdów, w tym w szczególności europejskich funduszy strukturalnych i inwestycyjnych, instrumentu „Łącząc Europę”, a także środków NFOŚiGW. Środki pochodzić będą także z budżetu państwa oraz budżetów jednostek samorządu terytorialnego.</w:t>
            </w:r>
            <w:r w:rsidR="004F5A9D" w:rsidRPr="004F5A9D">
              <w:rPr>
                <w:highlight w:val="yellow"/>
              </w:rPr>
              <w:t xml:space="preserve"> </w:t>
            </w:r>
          </w:p>
          <w:p w14:paraId="105A4028" w14:textId="754391E9" w:rsidR="004F5A9D" w:rsidRPr="003C4740" w:rsidRDefault="004F5A9D" w:rsidP="004F5A9D">
            <w:pPr>
              <w:pStyle w:val="Akapitzlist"/>
              <w:spacing w:line="240" w:lineRule="auto"/>
              <w:ind w:left="0"/>
              <w:jc w:val="both"/>
              <w:rPr>
                <w:rFonts w:ascii="Times New Roman" w:hAnsi="Times New Roman"/>
                <w:color w:val="000000"/>
                <w:spacing w:val="-2"/>
              </w:rPr>
            </w:pPr>
            <w:r w:rsidRPr="003C4740">
              <w:rPr>
                <w:rFonts w:ascii="Times New Roman" w:hAnsi="Times New Roman"/>
                <w:color w:val="000000"/>
                <w:spacing w:val="-2"/>
              </w:rPr>
              <w:t xml:space="preserve">Przegląd niskoemisyjnych inwestycji w krajowe zasoby budowlane w latach 2014-2019, wskazuje, że dominującą rolę we wspieraniu niskoemisyjnych inwestycji odgrywają środki europejskie (75% wszystkich funduszy publicznych – 11 mld zł). Co warte podkreślenia, ponad 70% funduszy unijnych (9 mld zł) wykorzystane było w latach 2014-2019 na finansowanie inwestycji realizowanych przez sektor publiczny na poziomie krajowym, lokalnym i regionalnym – w tym przede wszystkim termomodernizacji budynków użyteczności publicznej oraz budynków mieszkalnych pozostających we własności publicznej. W latach 2015-2019 wartość środków europejskich </w:t>
            </w:r>
            <w:r w:rsidR="002676C8" w:rsidRPr="003C4740">
              <w:rPr>
                <w:rFonts w:ascii="Times New Roman" w:hAnsi="Times New Roman"/>
                <w:color w:val="000000"/>
                <w:spacing w:val="-2"/>
              </w:rPr>
              <w:t>przekroczył</w:t>
            </w:r>
            <w:r w:rsidR="002676C8">
              <w:rPr>
                <w:rFonts w:ascii="Times New Roman" w:hAnsi="Times New Roman"/>
                <w:color w:val="000000"/>
                <w:spacing w:val="-2"/>
              </w:rPr>
              <w:t>a</w:t>
            </w:r>
            <w:r w:rsidR="002676C8" w:rsidRPr="003C4740">
              <w:rPr>
                <w:rFonts w:ascii="Times New Roman" w:hAnsi="Times New Roman"/>
                <w:color w:val="000000"/>
                <w:spacing w:val="-2"/>
              </w:rPr>
              <w:t xml:space="preserve"> </w:t>
            </w:r>
            <w:r w:rsidRPr="003C4740">
              <w:rPr>
                <w:rFonts w:ascii="Times New Roman" w:hAnsi="Times New Roman"/>
                <w:color w:val="000000"/>
                <w:spacing w:val="-2"/>
              </w:rPr>
              <w:t xml:space="preserve">publiczne finansowanie krajowe ponad pięciokrotnie. Od 2016 roku udział funduszy unijnych w strukturze finansowania systematycznie malał, co bezpośrednio wynikało z rozkładu czasowego konkursów w ramach perspektywy finansowej 2014-2020. W tym okresie malejący udział funduszy europejskich nie został skompensowany wzrostem finansowania pochodzącego ze źródeł krajowych. </w:t>
            </w:r>
          </w:p>
          <w:p w14:paraId="3F17C9BD" w14:textId="1975E3E8" w:rsidR="002E5FFA" w:rsidRPr="0050413F" w:rsidRDefault="004F5A9D" w:rsidP="00D051C1">
            <w:pPr>
              <w:pStyle w:val="Akapitzlist"/>
              <w:spacing w:line="240" w:lineRule="auto"/>
              <w:ind w:left="0"/>
              <w:jc w:val="both"/>
              <w:rPr>
                <w:rFonts w:ascii="Times New Roman" w:hAnsi="Times New Roman"/>
                <w:color w:val="000000"/>
                <w:spacing w:val="-2"/>
              </w:rPr>
            </w:pPr>
            <w:r w:rsidRPr="003C4740">
              <w:rPr>
                <w:rFonts w:ascii="Times New Roman" w:hAnsi="Times New Roman"/>
                <w:color w:val="000000"/>
                <w:spacing w:val="-2"/>
              </w:rPr>
              <w:t>W 2019 roku finansowanie z budżetów przedsiębiorstw i gospodarstw domowych oraz banków komercyjnych wyniosło prawie 50% wszystkich inwestycji, natomiast w latach 2014-2018 finansowanie z sektora prywatnego było znacznie niższe i nie przekroczyło 40%. Banki komercyjne były odpowiedzialne średnio za 30% inwestycji.</w:t>
            </w:r>
          </w:p>
        </w:tc>
      </w:tr>
      <w:tr w:rsidR="002E5FFA" w:rsidRPr="0050413F" w14:paraId="7EB7BFEB" w14:textId="77777777" w:rsidTr="003C4740">
        <w:trPr>
          <w:gridAfter w:val="1"/>
          <w:wAfter w:w="10" w:type="dxa"/>
          <w:trHeight w:val="583"/>
        </w:trPr>
        <w:tc>
          <w:tcPr>
            <w:tcW w:w="2243" w:type="dxa"/>
            <w:gridSpan w:val="2"/>
            <w:shd w:val="clear" w:color="auto" w:fill="FFFFFF"/>
          </w:tcPr>
          <w:p w14:paraId="223F34BF"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Dodatkowe informacje, w tym wskazanie źródeł danych i przyjętych do obliczeń założeń</w:t>
            </w:r>
          </w:p>
        </w:tc>
        <w:tc>
          <w:tcPr>
            <w:tcW w:w="8694" w:type="dxa"/>
            <w:gridSpan w:val="27"/>
            <w:shd w:val="clear" w:color="auto" w:fill="FFFFFF"/>
          </w:tcPr>
          <w:p w14:paraId="6DD757D4" w14:textId="0CA8D1D0" w:rsidR="005C1330" w:rsidRPr="004F5A9D" w:rsidRDefault="00C6219C" w:rsidP="004F5A9D">
            <w:pPr>
              <w:pStyle w:val="Akapitzlist"/>
              <w:numPr>
                <w:ilvl w:val="0"/>
                <w:numId w:val="33"/>
              </w:numPr>
              <w:spacing w:line="240" w:lineRule="auto"/>
              <w:ind w:left="365" w:hanging="355"/>
              <w:jc w:val="both"/>
              <w:rPr>
                <w:rFonts w:ascii="Times New Roman" w:hAnsi="Times New Roman"/>
                <w:spacing w:val="-2"/>
              </w:rPr>
            </w:pPr>
            <w:r w:rsidRPr="004F5A9D">
              <w:rPr>
                <w:rFonts w:ascii="Times New Roman" w:hAnsi="Times New Roman"/>
                <w:spacing w:val="-2"/>
              </w:rPr>
              <w:t xml:space="preserve">Obliczenia w zakresie implementacji </w:t>
            </w:r>
            <w:r w:rsidR="005C1330" w:rsidRPr="004F5A9D">
              <w:rPr>
                <w:rFonts w:ascii="Times New Roman" w:hAnsi="Times New Roman"/>
                <w:spacing w:val="-2"/>
              </w:rPr>
              <w:t>przepisów Dyrektywy 2019/1161/UE</w:t>
            </w:r>
          </w:p>
          <w:p w14:paraId="7951550D" w14:textId="77777777" w:rsidR="005C1330" w:rsidRPr="0050413F" w:rsidRDefault="005C1330" w:rsidP="004F5A9D">
            <w:pPr>
              <w:spacing w:line="240" w:lineRule="auto"/>
              <w:ind w:left="365"/>
              <w:jc w:val="both"/>
              <w:rPr>
                <w:rFonts w:ascii="Times New Roman" w:hAnsi="Times New Roman"/>
                <w:spacing w:val="-2"/>
              </w:rPr>
            </w:pPr>
            <w:r w:rsidRPr="0050413F">
              <w:rPr>
                <w:rFonts w:ascii="Times New Roman" w:hAnsi="Times New Roman"/>
                <w:spacing w:val="-2"/>
              </w:rPr>
              <w:t>Nie jest możliwe oszacowanie skutków na sektor finansów publicznych w poszczególnych latach od wejścia w życie zmian ustawy, z uwagi na brak odpowiednich danych w tym zakresie.</w:t>
            </w:r>
          </w:p>
          <w:p w14:paraId="4038C96F" w14:textId="567374A1" w:rsidR="005C1330" w:rsidRPr="0050413F" w:rsidRDefault="005C1330" w:rsidP="004F5A9D">
            <w:pPr>
              <w:spacing w:line="240" w:lineRule="auto"/>
              <w:ind w:left="365"/>
              <w:jc w:val="both"/>
              <w:rPr>
                <w:rFonts w:ascii="Times New Roman" w:hAnsi="Times New Roman"/>
                <w:spacing w:val="-2"/>
              </w:rPr>
            </w:pPr>
            <w:r w:rsidRPr="0050413F">
              <w:rPr>
                <w:rFonts w:ascii="Times New Roman" w:hAnsi="Times New Roman"/>
                <w:spacing w:val="-2"/>
              </w:rPr>
              <w:t>Prognozy zamówień na lata 2020-2030 (ekspertyza pn</w:t>
            </w:r>
            <w:r w:rsidRPr="003C4740">
              <w:rPr>
                <w:rFonts w:ascii="Times New Roman" w:hAnsi="Times New Roman"/>
                <w:spacing w:val="-2"/>
              </w:rPr>
              <w:t>. Przygotowanie bazy informacyjnej i</w:t>
            </w:r>
            <w:r w:rsidR="00F36476" w:rsidRPr="003C4740">
              <w:rPr>
                <w:rFonts w:ascii="Times New Roman" w:hAnsi="Times New Roman"/>
                <w:spacing w:val="-2"/>
              </w:rPr>
              <w:t> </w:t>
            </w:r>
            <w:r w:rsidRPr="003C4740">
              <w:rPr>
                <w:rFonts w:ascii="Times New Roman" w:hAnsi="Times New Roman"/>
                <w:spacing w:val="-2"/>
              </w:rPr>
              <w:t>propozycji rozwiązań implementujących znowelizowaną dyrektywę w sprawie promocji czystych pojazdów,</w:t>
            </w:r>
            <w:r w:rsidRPr="0050413F">
              <w:rPr>
                <w:rFonts w:ascii="Times New Roman" w:hAnsi="Times New Roman"/>
                <w:spacing w:val="-2"/>
              </w:rPr>
              <w:t xml:space="preserve"> Atmoterm, 2019), uwzględniające realizacje wymagań ustawy o elektromobilności i</w:t>
            </w:r>
            <w:r w:rsidR="00F36476" w:rsidRPr="0050413F">
              <w:rPr>
                <w:rFonts w:ascii="Times New Roman" w:hAnsi="Times New Roman"/>
                <w:spacing w:val="-2"/>
              </w:rPr>
              <w:t> </w:t>
            </w:r>
            <w:r w:rsidRPr="0050413F">
              <w:rPr>
                <w:rFonts w:ascii="Times New Roman" w:hAnsi="Times New Roman"/>
                <w:spacing w:val="-2"/>
              </w:rPr>
              <w:t>paliwach alternatywnych w zakresie zakupu i eksploatacji pojazdów opartych na paliwach alternatywnych wykazują, że minimalne poziomy udziału ekologicznie czystych pojazdów w</w:t>
            </w:r>
            <w:r w:rsidR="00F36476" w:rsidRPr="0050413F">
              <w:rPr>
                <w:rFonts w:ascii="Times New Roman" w:hAnsi="Times New Roman"/>
                <w:spacing w:val="-2"/>
              </w:rPr>
              <w:t> </w:t>
            </w:r>
            <w:r w:rsidRPr="0050413F">
              <w:rPr>
                <w:rFonts w:ascii="Times New Roman" w:hAnsi="Times New Roman"/>
                <w:spacing w:val="-2"/>
              </w:rPr>
              <w:t>zamówieniach, określone przez dyrektywę 2019/1161/UE, w tym okresie mogą być dotrzymane niemalże we wszystkich kategoriach (tylko w odniesieniu do udziału czystych ekologicznie autobusów szacowany jest niewielki niedobór).</w:t>
            </w:r>
          </w:p>
          <w:p w14:paraId="5D948EF3" w14:textId="1F895BB2" w:rsidR="005C1330" w:rsidRPr="0050413F" w:rsidRDefault="005C1330" w:rsidP="004F5A9D">
            <w:pPr>
              <w:spacing w:line="240" w:lineRule="auto"/>
              <w:ind w:left="365"/>
              <w:jc w:val="both"/>
              <w:rPr>
                <w:rFonts w:ascii="Times New Roman" w:hAnsi="Times New Roman"/>
                <w:spacing w:val="-2"/>
              </w:rPr>
            </w:pPr>
            <w:r w:rsidRPr="0050413F">
              <w:rPr>
                <w:rFonts w:ascii="Times New Roman" w:hAnsi="Times New Roman"/>
                <w:spacing w:val="-2"/>
              </w:rPr>
              <w:t>Prognozy udziału ekologicznie czystych pojazdów w zamówieniach publicznych w latach 2021-2025 oraz 2026-2030 sporządzono w oparciu o założenia dotyczące realizacji przez naczelne i</w:t>
            </w:r>
            <w:r w:rsidR="005D356E" w:rsidRPr="0050413F">
              <w:rPr>
                <w:rFonts w:ascii="Times New Roman" w:hAnsi="Times New Roman"/>
                <w:spacing w:val="-2"/>
              </w:rPr>
              <w:t> </w:t>
            </w:r>
            <w:r w:rsidRPr="0050413F">
              <w:rPr>
                <w:rFonts w:ascii="Times New Roman" w:hAnsi="Times New Roman"/>
                <w:spacing w:val="-2"/>
              </w:rPr>
              <w:t xml:space="preserve">centralne organy administracji państwowej oraz JST powyżej 50 tys. mieszkańców wymogów wynikających z ustawy o elektromobilności (w zakresie zapewnienia odnośnego udziału pojazdów elektrycznych, napędzanych CNG/LNG, autobusów zeroemisyjnych we flotach), planów wybranych jednostek, objętych wymaganiami dyrektywy 2019/1161/UE w </w:t>
            </w:r>
            <w:r w:rsidRPr="0050413F">
              <w:rPr>
                <w:rFonts w:ascii="Times New Roman" w:hAnsi="Times New Roman"/>
                <w:spacing w:val="-2"/>
              </w:rPr>
              <w:lastRenderedPageBreak/>
              <w:t>zakresie wymian pojazdów oraz wykorzystania istniejących instrumentów prawnych i wsparcia. Określono udziały [%] „ekologicznie czystych pojazdów” w łącznej liczbie pojazdów objętych zamówieniami publicznymi (dla dwóch przedmiotowych okresów) i porównano je z</w:t>
            </w:r>
            <w:r w:rsidR="00F36476" w:rsidRPr="0050413F">
              <w:rPr>
                <w:rFonts w:ascii="Times New Roman" w:hAnsi="Times New Roman"/>
                <w:spacing w:val="-2"/>
              </w:rPr>
              <w:t> </w:t>
            </w:r>
            <w:r w:rsidRPr="0050413F">
              <w:rPr>
                <w:rFonts w:ascii="Times New Roman" w:hAnsi="Times New Roman"/>
                <w:spacing w:val="-2"/>
              </w:rPr>
              <w:t>minimalnymi poziomami określonymi dla Polski.</w:t>
            </w:r>
          </w:p>
          <w:p w14:paraId="273CE223" w14:textId="6442403C" w:rsidR="005C1330" w:rsidRPr="0050413F" w:rsidRDefault="005C1330" w:rsidP="004F5A9D">
            <w:pPr>
              <w:spacing w:line="240" w:lineRule="auto"/>
              <w:ind w:left="365"/>
              <w:jc w:val="both"/>
              <w:rPr>
                <w:rFonts w:ascii="Times New Roman" w:hAnsi="Times New Roman"/>
                <w:spacing w:val="-2"/>
              </w:rPr>
            </w:pPr>
            <w:r w:rsidRPr="0050413F">
              <w:rPr>
                <w:rFonts w:ascii="Times New Roman" w:hAnsi="Times New Roman"/>
                <w:spacing w:val="-2"/>
              </w:rPr>
              <w:t>Oceniono, że w pierwszym okresie (od 2 sierpnia 2021 roku - do 31 grudnia 2025 roku) w</w:t>
            </w:r>
            <w:r w:rsidR="005D356E" w:rsidRPr="0050413F">
              <w:rPr>
                <w:rFonts w:ascii="Times New Roman" w:hAnsi="Times New Roman"/>
                <w:spacing w:val="-2"/>
              </w:rPr>
              <w:t> </w:t>
            </w:r>
            <w:r w:rsidRPr="0050413F">
              <w:rPr>
                <w:rFonts w:ascii="Times New Roman" w:hAnsi="Times New Roman"/>
                <w:spacing w:val="-2"/>
              </w:rPr>
              <w:t>przypadku autobusów zostanie osiągnięty poziom ok. 32% „ekologicznie czystych autobusów” w łącznej liczbie autobusów objętych zamówieniami (umowy typu a, b i c), przy wymaganym dla pierwszego okresu poziomie 32%, głównie w drodze zamówień na „autobusy zeroemisyjne”. W</w:t>
            </w:r>
            <w:r w:rsidR="00F36476" w:rsidRPr="0050413F">
              <w:rPr>
                <w:rFonts w:ascii="Times New Roman" w:hAnsi="Times New Roman"/>
                <w:spacing w:val="-2"/>
              </w:rPr>
              <w:t> </w:t>
            </w:r>
            <w:r w:rsidRPr="0050413F">
              <w:rPr>
                <w:rFonts w:ascii="Times New Roman" w:hAnsi="Times New Roman"/>
                <w:spacing w:val="-2"/>
              </w:rPr>
              <w:t>drugim okresie (od 1 stycznia 2026 – do 31 grudnia 2030 roku) prognozowane jest osiągnięcie udziału „ekologicznie czystych autobusów” w łącznej liczbie autobusów objętych zamówieniami na poziomie ok. 40,6%, przy poziomie docelowym udziału „ekologicznie czystych autobusów” 46%. Należy podkreślić, że różnica pomiędzy ww. poziomami, wynosząca ok. 5,4% może być osiągnięta w drodze zamówień na „ekologicznie czyste autobusy” z napędem na inne niż energia elektryczna paliwa alternatywne.</w:t>
            </w:r>
          </w:p>
          <w:p w14:paraId="65BC14BB" w14:textId="77777777" w:rsidR="005C1330" w:rsidRPr="0050413F" w:rsidRDefault="005C1330" w:rsidP="004F5A9D">
            <w:pPr>
              <w:spacing w:line="240" w:lineRule="auto"/>
              <w:ind w:left="365"/>
              <w:jc w:val="both"/>
              <w:rPr>
                <w:rFonts w:ascii="Times New Roman" w:hAnsi="Times New Roman"/>
                <w:spacing w:val="-2"/>
              </w:rPr>
            </w:pPr>
            <w:r w:rsidRPr="0050413F">
              <w:rPr>
                <w:rFonts w:ascii="Times New Roman" w:hAnsi="Times New Roman"/>
                <w:spacing w:val="-2"/>
              </w:rPr>
              <w:t>Średni udział „ekologicznie czystych pojazdów lekkich” w całkowitej liczbie pojazdów lekkich objętych zamówieniami publicznymi (umowy typu a i c) w pierwszym okresie wyniesie 36,7%, natomiast w drugim okresie wyniesie 23,0%, wobec wymaganego poziomu 22%. W obu przypadkach pozwoli to na osiągnięcie poziomów docelowych określonych w dyrektywie 2019/1161/UE.</w:t>
            </w:r>
          </w:p>
          <w:p w14:paraId="7B7436BA" w14:textId="5CA72B1E" w:rsidR="005C1330" w:rsidRPr="0050413F" w:rsidRDefault="005C1330" w:rsidP="004F5A9D">
            <w:pPr>
              <w:spacing w:line="240" w:lineRule="auto"/>
              <w:ind w:left="365"/>
              <w:jc w:val="both"/>
              <w:rPr>
                <w:rFonts w:ascii="Times New Roman" w:hAnsi="Times New Roman"/>
                <w:spacing w:val="-2"/>
              </w:rPr>
            </w:pPr>
            <w:r w:rsidRPr="0050413F">
              <w:rPr>
                <w:rFonts w:ascii="Times New Roman" w:hAnsi="Times New Roman"/>
                <w:spacing w:val="-2"/>
              </w:rPr>
              <w:t>Na postawie prognoz dla pojazdów ciężarowych oszacowano, że średni udział „ekologicznie czystych pojazdów” w całkowitej liczbie pojazdów ciężarowych objętych zamówieniami (umowy typu a i c) w pierwszym okresie wyniesie 15,7% wobec wymaganego poziomu 7%, natomiast w</w:t>
            </w:r>
            <w:r w:rsidR="00F36476" w:rsidRPr="0050413F">
              <w:rPr>
                <w:rFonts w:ascii="Times New Roman" w:hAnsi="Times New Roman"/>
                <w:spacing w:val="-2"/>
              </w:rPr>
              <w:t> </w:t>
            </w:r>
            <w:r w:rsidRPr="0050413F">
              <w:rPr>
                <w:rFonts w:ascii="Times New Roman" w:hAnsi="Times New Roman"/>
                <w:spacing w:val="-2"/>
              </w:rPr>
              <w:t>drugim okresie wyniesie 12,1%, wobec wymaganego poziomu 9%. W obu przypadkach pozwoli to na osiągnięcie poziomów docelowych określonych w dyrektywie 2019/1161/UE.</w:t>
            </w:r>
          </w:p>
          <w:p w14:paraId="346473E2" w14:textId="4299FE6D" w:rsidR="005C1330" w:rsidRPr="0050413F" w:rsidRDefault="005C1330" w:rsidP="004F5A9D">
            <w:pPr>
              <w:spacing w:line="240" w:lineRule="auto"/>
              <w:ind w:left="365"/>
              <w:jc w:val="both"/>
              <w:rPr>
                <w:rFonts w:ascii="Times New Roman" w:hAnsi="Times New Roman"/>
                <w:spacing w:val="-2"/>
              </w:rPr>
            </w:pPr>
            <w:r w:rsidRPr="0050413F">
              <w:rPr>
                <w:rFonts w:ascii="Times New Roman" w:hAnsi="Times New Roman"/>
                <w:spacing w:val="-2"/>
              </w:rPr>
              <w:t>Nakłady dodatkowe, tzn. wynikające z wyższych cen pojazdów o napędach nisko- i</w:t>
            </w:r>
            <w:r w:rsidR="00F36476" w:rsidRPr="0050413F">
              <w:rPr>
                <w:rFonts w:ascii="Times New Roman" w:hAnsi="Times New Roman"/>
                <w:spacing w:val="-2"/>
              </w:rPr>
              <w:t> </w:t>
            </w:r>
            <w:r w:rsidRPr="0050413F">
              <w:rPr>
                <w:rFonts w:ascii="Times New Roman" w:hAnsi="Times New Roman"/>
                <w:spacing w:val="-2"/>
              </w:rPr>
              <w:t>zeroemisyjnych względem pojazdów z napędami konwencjonalnymi, wymagane do poniesienia w związku z dotrzymaniem wymagań nałożonych dyrektywą 2019/1161/UE odnośnie udziału czystych ekologicznie pojazdów przy planowanej wymianie foty, oszacowano na poziomie ok. 8,5 mld zł w dwóch okresach odniesienia (ok. 4,5 mld zł w pierwszym okresie oraz ok. 4 mld zł w</w:t>
            </w:r>
            <w:r w:rsidR="00F36476" w:rsidRPr="0050413F">
              <w:rPr>
                <w:rFonts w:ascii="Times New Roman" w:hAnsi="Times New Roman"/>
                <w:spacing w:val="-2"/>
              </w:rPr>
              <w:t> </w:t>
            </w:r>
            <w:r w:rsidRPr="0050413F">
              <w:rPr>
                <w:rFonts w:ascii="Times New Roman" w:hAnsi="Times New Roman"/>
                <w:spacing w:val="-2"/>
              </w:rPr>
              <w:t xml:space="preserve">drugim okresie). </w:t>
            </w:r>
          </w:p>
          <w:p w14:paraId="0CBE77C0" w14:textId="2783D859" w:rsidR="005C1330" w:rsidRPr="0050413F" w:rsidRDefault="005C1330" w:rsidP="004F5A9D">
            <w:pPr>
              <w:spacing w:line="240" w:lineRule="auto"/>
              <w:ind w:left="365"/>
              <w:jc w:val="both"/>
              <w:rPr>
                <w:rFonts w:ascii="Times New Roman" w:hAnsi="Times New Roman"/>
                <w:spacing w:val="-2"/>
              </w:rPr>
            </w:pPr>
            <w:r w:rsidRPr="0050413F">
              <w:rPr>
                <w:rFonts w:ascii="Times New Roman" w:hAnsi="Times New Roman"/>
                <w:spacing w:val="-2"/>
              </w:rPr>
              <w:t>Jak wskazano wcześniej</w:t>
            </w:r>
            <w:r w:rsidR="003936D9" w:rsidRPr="0050413F">
              <w:rPr>
                <w:rFonts w:ascii="Times New Roman" w:hAnsi="Times New Roman"/>
                <w:spacing w:val="-2"/>
              </w:rPr>
              <w:t>,</w:t>
            </w:r>
            <w:r w:rsidRPr="0050413F">
              <w:rPr>
                <w:rFonts w:ascii="Times New Roman" w:hAnsi="Times New Roman"/>
                <w:spacing w:val="-2"/>
              </w:rPr>
              <w:t xml:space="preserve"> eksperckie prognozy zamówień publicznych na lata 2021-2030, uwzględniające realizację wymagań ustawy o elektromobilności wskazują uzyskanie minimalnych poziomów udziału „ekologicznie czystych pojazdów” w zamówieniach, określone przez dyrektywę 2019/1161/UE, choć w przypadku autobusów w drugim okresie rozliczeniowym prognozowany udział pojazdów czystych wynosi 40,6% a wymagane jest 46%. Tym samym można przyjąć, że nakład dodatkowy względem już planowanych wydatków stanowić będzie poniesienie kosztów związanych z wymianą 5,4% autobusów na niskoemisyjne (np. gazowe) w</w:t>
            </w:r>
            <w:r w:rsidR="00F36476" w:rsidRPr="0050413F">
              <w:rPr>
                <w:rFonts w:ascii="Times New Roman" w:hAnsi="Times New Roman"/>
                <w:spacing w:val="-2"/>
              </w:rPr>
              <w:t> </w:t>
            </w:r>
            <w:r w:rsidRPr="0050413F">
              <w:rPr>
                <w:rFonts w:ascii="Times New Roman" w:hAnsi="Times New Roman"/>
                <w:spacing w:val="-2"/>
              </w:rPr>
              <w:t>drugim okresie odniesienia tj. w latach  2026-2030. Zakładając, że średnia cena autobusów z</w:t>
            </w:r>
            <w:r w:rsidR="00F36476" w:rsidRPr="0050413F">
              <w:rPr>
                <w:rFonts w:ascii="Times New Roman" w:hAnsi="Times New Roman"/>
                <w:spacing w:val="-2"/>
              </w:rPr>
              <w:t> </w:t>
            </w:r>
            <w:r w:rsidRPr="0050413F">
              <w:rPr>
                <w:rFonts w:ascii="Times New Roman" w:hAnsi="Times New Roman"/>
                <w:spacing w:val="-2"/>
              </w:rPr>
              <w:t>napędem gazowym spadać będzie w tempie 2,5% rocznie (w okresie 2026-2030 różnica cen względem autobusów z</w:t>
            </w:r>
            <w:r w:rsidR="00D807C5" w:rsidRPr="0050413F">
              <w:rPr>
                <w:rFonts w:ascii="Times New Roman" w:hAnsi="Times New Roman"/>
                <w:spacing w:val="-2"/>
              </w:rPr>
              <w:t> </w:t>
            </w:r>
            <w:r w:rsidRPr="0050413F">
              <w:rPr>
                <w:rFonts w:ascii="Times New Roman" w:hAnsi="Times New Roman"/>
                <w:spacing w:val="-2"/>
              </w:rPr>
              <w:t xml:space="preserve">napędem konwencjonalnym  zmniejszyłaby  się z obecnego poziomu ok. 130 tys. zł do poziomu ok. 30 tys. zł),  ten dodatkowy koszt szacowany jest na ok. </w:t>
            </w:r>
            <w:r w:rsidR="00933A3A" w:rsidRPr="0050413F">
              <w:rPr>
                <w:rFonts w:ascii="Times New Roman" w:hAnsi="Times New Roman"/>
                <w:spacing w:val="-2"/>
              </w:rPr>
              <w:t>17</w:t>
            </w:r>
            <w:r w:rsidR="0013433E" w:rsidRPr="0050413F">
              <w:rPr>
                <w:rFonts w:ascii="Times New Roman" w:hAnsi="Times New Roman"/>
                <w:spacing w:val="-2"/>
              </w:rPr>
              <w:t>,</w:t>
            </w:r>
            <w:r w:rsidR="00933A3A" w:rsidRPr="0050413F">
              <w:rPr>
                <w:rFonts w:ascii="Times New Roman" w:hAnsi="Times New Roman"/>
                <w:spacing w:val="-2"/>
              </w:rPr>
              <w:t>5</w:t>
            </w:r>
            <w:r w:rsidRPr="0050413F">
              <w:rPr>
                <w:rFonts w:ascii="Times New Roman" w:hAnsi="Times New Roman"/>
                <w:spacing w:val="-2"/>
              </w:rPr>
              <w:t>mln zł.</w:t>
            </w:r>
          </w:p>
          <w:p w14:paraId="0204C1A4" w14:textId="77777777" w:rsidR="005C1330" w:rsidRPr="003C4740" w:rsidRDefault="005C1330" w:rsidP="004F5A9D">
            <w:pPr>
              <w:spacing w:line="240" w:lineRule="auto"/>
              <w:ind w:left="365"/>
              <w:jc w:val="both"/>
              <w:rPr>
                <w:rFonts w:ascii="Times New Roman" w:hAnsi="Times New Roman"/>
                <w:spacing w:val="-2"/>
              </w:rPr>
            </w:pPr>
            <w:r w:rsidRPr="003C4740">
              <w:rPr>
                <w:rFonts w:ascii="Times New Roman" w:hAnsi="Times New Roman"/>
                <w:spacing w:val="-2"/>
              </w:rPr>
              <w:t>Przyjęte założenia przy szacowaniu kosztów:</w:t>
            </w:r>
          </w:p>
          <w:p w14:paraId="0B856F99" w14:textId="3C4192FA" w:rsidR="005C1330" w:rsidRPr="0050413F" w:rsidRDefault="005C1330" w:rsidP="004F5A9D">
            <w:pPr>
              <w:pStyle w:val="Akapitzlist"/>
              <w:numPr>
                <w:ilvl w:val="0"/>
                <w:numId w:val="25"/>
              </w:numPr>
              <w:spacing w:line="240" w:lineRule="auto"/>
              <w:ind w:left="648" w:hanging="284"/>
              <w:jc w:val="both"/>
              <w:rPr>
                <w:rFonts w:ascii="Times New Roman" w:hAnsi="Times New Roman"/>
                <w:spacing w:val="-2"/>
              </w:rPr>
            </w:pPr>
            <w:r w:rsidRPr="0050413F">
              <w:rPr>
                <w:rFonts w:ascii="Times New Roman" w:hAnsi="Times New Roman"/>
                <w:spacing w:val="-2"/>
              </w:rPr>
              <w:t>Obowiązki wynikające z obowiązującej ustawy o elektromobilności i paliwach alternatywnych będ</w:t>
            </w:r>
            <w:r w:rsidR="002676C8">
              <w:rPr>
                <w:rFonts w:ascii="Times New Roman" w:hAnsi="Times New Roman"/>
                <w:spacing w:val="-2"/>
              </w:rPr>
              <w:t>ą</w:t>
            </w:r>
            <w:r w:rsidRPr="0050413F">
              <w:rPr>
                <w:rFonts w:ascii="Times New Roman" w:hAnsi="Times New Roman"/>
                <w:spacing w:val="-2"/>
              </w:rPr>
              <w:t xml:space="preserve"> realizowane wg przyjętego harmonogramu.</w:t>
            </w:r>
          </w:p>
          <w:p w14:paraId="1916EAD9" w14:textId="77777777" w:rsidR="005C1330" w:rsidRPr="0050413F" w:rsidRDefault="005C1330" w:rsidP="004F5A9D">
            <w:pPr>
              <w:pStyle w:val="Akapitzlist"/>
              <w:numPr>
                <w:ilvl w:val="0"/>
                <w:numId w:val="25"/>
              </w:numPr>
              <w:spacing w:line="240" w:lineRule="auto"/>
              <w:ind w:left="648" w:hanging="284"/>
              <w:jc w:val="both"/>
              <w:rPr>
                <w:rFonts w:ascii="Times New Roman" w:hAnsi="Times New Roman"/>
                <w:spacing w:val="-2"/>
              </w:rPr>
            </w:pPr>
            <w:r w:rsidRPr="0050413F">
              <w:rPr>
                <w:rFonts w:ascii="Times New Roman" w:hAnsi="Times New Roman"/>
                <w:spacing w:val="-2"/>
              </w:rPr>
              <w:t>Osiągniecie minimalnych udziałów ekologicznie czystych pojazdów w zamówieniach publicznych, określonych w dyrektywie 2019/1161/UE.</w:t>
            </w:r>
          </w:p>
          <w:p w14:paraId="1F3C3C06" w14:textId="77777777" w:rsidR="005C1330" w:rsidRPr="0050413F" w:rsidRDefault="005C1330" w:rsidP="004F5A9D">
            <w:pPr>
              <w:pStyle w:val="Akapitzlist"/>
              <w:numPr>
                <w:ilvl w:val="0"/>
                <w:numId w:val="25"/>
              </w:numPr>
              <w:spacing w:line="240" w:lineRule="auto"/>
              <w:ind w:left="648" w:hanging="284"/>
              <w:jc w:val="both"/>
              <w:rPr>
                <w:rFonts w:ascii="Times New Roman" w:hAnsi="Times New Roman"/>
                <w:spacing w:val="-2"/>
              </w:rPr>
            </w:pPr>
            <w:r w:rsidRPr="0050413F">
              <w:rPr>
                <w:rFonts w:ascii="Times New Roman" w:hAnsi="Times New Roman"/>
                <w:spacing w:val="-2"/>
              </w:rPr>
              <w:t>Cele minimalne z dyrektywy 2019/1161/UE będą osiągane w pierwszej kolejności przez pojazdy niskoemisyjne, dopiero później przez zeroemisyjne.</w:t>
            </w:r>
          </w:p>
          <w:p w14:paraId="64D77B6C" w14:textId="77777777" w:rsidR="005C1330" w:rsidRPr="0050413F" w:rsidRDefault="005C1330" w:rsidP="004F5A9D">
            <w:pPr>
              <w:pStyle w:val="Akapitzlist"/>
              <w:numPr>
                <w:ilvl w:val="0"/>
                <w:numId w:val="25"/>
              </w:numPr>
              <w:spacing w:line="240" w:lineRule="auto"/>
              <w:ind w:left="648" w:hanging="284"/>
              <w:jc w:val="both"/>
              <w:rPr>
                <w:rFonts w:ascii="Times New Roman" w:hAnsi="Times New Roman"/>
                <w:spacing w:val="-2"/>
              </w:rPr>
            </w:pPr>
            <w:r w:rsidRPr="0050413F">
              <w:rPr>
                <w:rFonts w:ascii="Times New Roman" w:hAnsi="Times New Roman"/>
                <w:spacing w:val="-2"/>
              </w:rPr>
              <w:t>Koszt ceny pojazdu konwencjonalnego nie ulegnie istotnej zmianie w analizowanym okresie.</w:t>
            </w:r>
          </w:p>
          <w:p w14:paraId="39A6BA22" w14:textId="77777777" w:rsidR="005C1330" w:rsidRPr="0050413F" w:rsidRDefault="005C1330" w:rsidP="004F5A9D">
            <w:pPr>
              <w:pStyle w:val="Akapitzlist"/>
              <w:numPr>
                <w:ilvl w:val="0"/>
                <w:numId w:val="25"/>
              </w:numPr>
              <w:spacing w:line="240" w:lineRule="auto"/>
              <w:ind w:left="648" w:hanging="284"/>
              <w:jc w:val="both"/>
              <w:rPr>
                <w:rFonts w:ascii="Times New Roman" w:hAnsi="Times New Roman"/>
                <w:spacing w:val="-2"/>
              </w:rPr>
            </w:pPr>
            <w:r w:rsidRPr="0050413F">
              <w:rPr>
                <w:rFonts w:ascii="Times New Roman" w:hAnsi="Times New Roman"/>
                <w:spacing w:val="-2"/>
              </w:rPr>
              <w:t>Spadek, na skutek rozwoju technologicznego napędów</w:t>
            </w:r>
            <w:r w:rsidRPr="0050413F" w:rsidDel="004E694A">
              <w:rPr>
                <w:rFonts w:ascii="Times New Roman" w:hAnsi="Times New Roman"/>
                <w:spacing w:val="-2"/>
              </w:rPr>
              <w:t xml:space="preserve"> </w:t>
            </w:r>
            <w:r w:rsidRPr="0050413F">
              <w:rPr>
                <w:rFonts w:ascii="Times New Roman" w:hAnsi="Times New Roman"/>
                <w:spacing w:val="-2"/>
              </w:rPr>
              <w:t>i efektu skali, cen pojazdów ekologicznie czystych będzie na poziomie 2,5% / rocznie w odniesieniu do przyjętych cen z roku 2020.</w:t>
            </w:r>
          </w:p>
          <w:p w14:paraId="4C3F8F0E" w14:textId="2C5C0AC9" w:rsidR="005C1330" w:rsidRPr="0050413F" w:rsidRDefault="005C1330" w:rsidP="004F5A9D">
            <w:pPr>
              <w:spacing w:line="240" w:lineRule="auto"/>
              <w:ind w:left="365"/>
              <w:jc w:val="both"/>
              <w:rPr>
                <w:rFonts w:ascii="Times New Roman" w:hAnsi="Times New Roman"/>
                <w:spacing w:val="-2"/>
              </w:rPr>
            </w:pPr>
            <w:r w:rsidRPr="0050413F">
              <w:rPr>
                <w:rFonts w:ascii="Times New Roman" w:hAnsi="Times New Roman"/>
                <w:spacing w:val="-2"/>
              </w:rPr>
              <w:t>Korzyści dla budżetu państwa wynikać będą z wyższych wpływów z podatku VAT związanego z</w:t>
            </w:r>
            <w:r w:rsidR="00F36476" w:rsidRPr="0050413F">
              <w:rPr>
                <w:rFonts w:ascii="Times New Roman" w:hAnsi="Times New Roman"/>
                <w:spacing w:val="-2"/>
              </w:rPr>
              <w:t> </w:t>
            </w:r>
            <w:r w:rsidRPr="0050413F">
              <w:rPr>
                <w:rFonts w:ascii="Times New Roman" w:hAnsi="Times New Roman"/>
                <w:spacing w:val="-2"/>
              </w:rPr>
              <w:t>zakupem pojazdów o napędach elektrycznych i gazowych, których cena przewyższa pojazdy z</w:t>
            </w:r>
            <w:r w:rsidR="00F36476" w:rsidRPr="0050413F">
              <w:rPr>
                <w:rFonts w:ascii="Times New Roman" w:hAnsi="Times New Roman"/>
                <w:spacing w:val="-2"/>
              </w:rPr>
              <w:t> </w:t>
            </w:r>
            <w:r w:rsidRPr="0050413F">
              <w:rPr>
                <w:rFonts w:ascii="Times New Roman" w:hAnsi="Times New Roman"/>
                <w:spacing w:val="-2"/>
              </w:rPr>
              <w:t xml:space="preserve">napędami konwencjonalnymi. </w:t>
            </w:r>
          </w:p>
          <w:p w14:paraId="3D5FEAB9" w14:textId="77777777" w:rsidR="005C1330" w:rsidRPr="0050413F" w:rsidRDefault="005C1330" w:rsidP="004F5A9D">
            <w:pPr>
              <w:spacing w:line="240" w:lineRule="auto"/>
              <w:ind w:left="365"/>
              <w:jc w:val="both"/>
              <w:rPr>
                <w:rFonts w:ascii="Times New Roman" w:hAnsi="Times New Roman"/>
                <w:spacing w:val="-2"/>
              </w:rPr>
            </w:pPr>
            <w:r w:rsidRPr="0050413F">
              <w:rPr>
                <w:rFonts w:ascii="Times New Roman" w:hAnsi="Times New Roman"/>
                <w:spacing w:val="-2"/>
              </w:rPr>
              <w:t xml:space="preserve">Ustawa wpłynie na zmniejszenie poziomu konsumpcji paliw płynnych i wzrost zużycia energii elektrycznej, co skutkować będzie zmniejszeniem wpływu do budżetu państwa z tytułu </w:t>
            </w:r>
            <w:r w:rsidRPr="0050413F">
              <w:rPr>
                <w:rFonts w:ascii="Times New Roman" w:hAnsi="Times New Roman"/>
                <w:spacing w:val="-2"/>
              </w:rPr>
              <w:lastRenderedPageBreak/>
              <w:t xml:space="preserve">podatków paliwowych, gdyż tej różnicy nie pokryje wzrost konsumpcji energii elektrycznej (która z zasady ma być tańsza niż paliwa konwencjonalne). Niższe koszty eksploatacji pojazdów elektrycznych spowodują oszczędności wydatków ich użytkowników, ale jednocześnie zmniejszenie wpływów do budżetu z tytułu podatku VAT związanego z usługami eksploatacyjnymi. </w:t>
            </w:r>
          </w:p>
          <w:p w14:paraId="23BC7E7F" w14:textId="77777777" w:rsidR="005C1330" w:rsidRPr="0050413F" w:rsidRDefault="005C1330" w:rsidP="004F5A9D">
            <w:pPr>
              <w:spacing w:line="240" w:lineRule="auto"/>
              <w:ind w:left="365"/>
              <w:jc w:val="both"/>
              <w:rPr>
                <w:rFonts w:ascii="Times New Roman" w:hAnsi="Times New Roman"/>
                <w:spacing w:val="-2"/>
              </w:rPr>
            </w:pPr>
            <w:r w:rsidRPr="0050413F">
              <w:rPr>
                <w:rFonts w:ascii="Times New Roman" w:hAnsi="Times New Roman"/>
                <w:spacing w:val="-2"/>
              </w:rPr>
              <w:t xml:space="preserve">Niższa emisja zanieczyszczeń, względem pojazdów spalinowych, spowoduje pozytywny efekt zdrowotny i środowiskowy, co przełoży się na zmniejszenie wydatków budżetu państwa na ochronę zdrowia związaną z chorobami układu oddechowego i krążenia. Równoczesny spadek emisji gazów cieplarnianych może przyczynić się do obniżenia kosztów interwencji i działań adaptacyjnych w związku ze zmianami klimatu. </w:t>
            </w:r>
          </w:p>
          <w:p w14:paraId="114D85F6" w14:textId="77777777" w:rsidR="005C1330" w:rsidRPr="0050413F" w:rsidRDefault="005C1330" w:rsidP="004F5A9D">
            <w:pPr>
              <w:spacing w:line="240" w:lineRule="auto"/>
              <w:ind w:left="365"/>
              <w:jc w:val="both"/>
              <w:rPr>
                <w:rFonts w:ascii="Times New Roman" w:hAnsi="Times New Roman"/>
                <w:spacing w:val="-2"/>
              </w:rPr>
            </w:pPr>
            <w:r w:rsidRPr="0050413F">
              <w:rPr>
                <w:rFonts w:ascii="Times New Roman" w:hAnsi="Times New Roman"/>
                <w:spacing w:val="-2"/>
              </w:rPr>
              <w:t>Wzrost obciążeń dla zamawiających zostanie w większości zrównoważony mniejszymi kosztami eksploatacyjnymi floty pojazdów oraz korzyściami dla sektora przedsiębiorstw. Wydatki budżetu państwa potencjalnie zostaną zrównoważone większymi wpływami na skutek rozwoju przemysłu motoryzacyjnego i elektrotechnicznego jak i wskazanym powyżej zmniejszeniem wydatków.</w:t>
            </w:r>
          </w:p>
          <w:p w14:paraId="6618EE34" w14:textId="57A2D2F2" w:rsidR="005C1330" w:rsidRPr="0050413F" w:rsidRDefault="005C1330" w:rsidP="004F5A9D">
            <w:pPr>
              <w:spacing w:line="240" w:lineRule="auto"/>
              <w:ind w:left="365"/>
              <w:jc w:val="both"/>
              <w:rPr>
                <w:rFonts w:ascii="Times New Roman" w:hAnsi="Times New Roman"/>
                <w:spacing w:val="-2"/>
              </w:rPr>
            </w:pPr>
            <w:r w:rsidRPr="0050413F">
              <w:rPr>
                <w:rFonts w:ascii="Times New Roman" w:hAnsi="Times New Roman"/>
                <w:spacing w:val="-2"/>
              </w:rPr>
              <w:t>Koszt wymiany floty przedsiębiorstw świadczących usługi transportu publicznego zostanie w</w:t>
            </w:r>
            <w:r w:rsidR="00D807C5" w:rsidRPr="0050413F">
              <w:rPr>
                <w:rFonts w:ascii="Times New Roman" w:hAnsi="Times New Roman"/>
                <w:spacing w:val="-2"/>
              </w:rPr>
              <w:t> </w:t>
            </w:r>
            <w:r w:rsidRPr="0050413F">
              <w:rPr>
                <w:rFonts w:ascii="Times New Roman" w:hAnsi="Times New Roman"/>
                <w:spacing w:val="-2"/>
              </w:rPr>
              <w:t xml:space="preserve"> znacznym stopniu przełożony na JST, co może być rekompensowane przy użyciu dostępnych instrumentów wsparcia. Niższe koszty eksploatacji nie pokryją pełnego kosztu wymiany floty w</w:t>
            </w:r>
            <w:r w:rsidR="00D807C5" w:rsidRPr="0050413F">
              <w:rPr>
                <w:rFonts w:ascii="Times New Roman" w:hAnsi="Times New Roman"/>
                <w:spacing w:val="-2"/>
              </w:rPr>
              <w:t> </w:t>
            </w:r>
            <w:r w:rsidRPr="0050413F">
              <w:rPr>
                <w:rFonts w:ascii="Times New Roman" w:hAnsi="Times New Roman"/>
                <w:spacing w:val="-2"/>
              </w:rPr>
              <w:t xml:space="preserve">analizowanym okresie, dlatego też obowiązek ten będzie stanowić koszt. </w:t>
            </w:r>
          </w:p>
          <w:p w14:paraId="657737CD" w14:textId="77777777" w:rsidR="005C1330" w:rsidRPr="0050413F" w:rsidRDefault="005C1330" w:rsidP="004F5A9D">
            <w:pPr>
              <w:spacing w:line="240" w:lineRule="auto"/>
              <w:ind w:left="365"/>
              <w:jc w:val="both"/>
              <w:rPr>
                <w:rFonts w:ascii="Times New Roman" w:hAnsi="Times New Roman"/>
                <w:spacing w:val="-2"/>
              </w:rPr>
            </w:pPr>
            <w:r w:rsidRPr="0050413F">
              <w:rPr>
                <w:rFonts w:ascii="Times New Roman" w:hAnsi="Times New Roman"/>
                <w:spacing w:val="-2"/>
              </w:rPr>
              <w:t>Koszt wymiany floty operatorów świadczących usługi w zakresie specjalnych usług doręczania przesyłek pocztowych i paczek oraz usług wywozu odpadów powinien zostać złagodzony przez maksymalne wykorzystanie instrumentów wsparcia, tak aby nie został  przełożony na końcowych odbiorców usług</w:t>
            </w:r>
            <w:r w:rsidR="00AA2242" w:rsidRPr="0050413F">
              <w:rPr>
                <w:rFonts w:ascii="Times New Roman" w:hAnsi="Times New Roman"/>
                <w:spacing w:val="-2"/>
              </w:rPr>
              <w:t>.</w:t>
            </w:r>
          </w:p>
          <w:p w14:paraId="29A4976E" w14:textId="62168D5F" w:rsidR="005C1330" w:rsidRPr="003C4740" w:rsidRDefault="005C1330" w:rsidP="004F5A9D">
            <w:pPr>
              <w:spacing w:line="240" w:lineRule="auto"/>
              <w:ind w:left="365"/>
              <w:jc w:val="both"/>
              <w:rPr>
                <w:rFonts w:ascii="Times New Roman" w:hAnsi="Times New Roman"/>
                <w:spacing w:val="-2"/>
              </w:rPr>
            </w:pPr>
            <w:r w:rsidRPr="0050413F">
              <w:rPr>
                <w:rFonts w:ascii="Times New Roman" w:hAnsi="Times New Roman"/>
                <w:spacing w:val="-2"/>
              </w:rPr>
              <w:t>Jak wskazano wcześniej, wynikające z obecnie droższej technologii napędowej dodatkowe wydatki w zakresie wymiany taboru mogą zostać zbilansowane poprzez skorzystanie z</w:t>
            </w:r>
            <w:r w:rsidR="00F36476" w:rsidRPr="0050413F">
              <w:rPr>
                <w:rFonts w:ascii="Times New Roman" w:hAnsi="Times New Roman"/>
                <w:spacing w:val="-2"/>
              </w:rPr>
              <w:t> </w:t>
            </w:r>
            <w:r w:rsidRPr="0050413F">
              <w:rPr>
                <w:rFonts w:ascii="Times New Roman" w:hAnsi="Times New Roman"/>
                <w:spacing w:val="-2"/>
              </w:rPr>
              <w:t xml:space="preserve">instrumentów finansowych ukierunkowanych na wsparcie nabycia ekologicznie czystych pojazdów. </w:t>
            </w:r>
          </w:p>
          <w:p w14:paraId="660BBBE6" w14:textId="66B41674" w:rsidR="00327D3C" w:rsidRPr="004F5A9D" w:rsidRDefault="00C6219C" w:rsidP="004F5A9D">
            <w:pPr>
              <w:pStyle w:val="Akapitzlist"/>
              <w:numPr>
                <w:ilvl w:val="0"/>
                <w:numId w:val="33"/>
              </w:numPr>
              <w:spacing w:line="240" w:lineRule="auto"/>
              <w:ind w:left="365" w:hanging="355"/>
              <w:jc w:val="both"/>
              <w:rPr>
                <w:rFonts w:ascii="Times New Roman" w:hAnsi="Times New Roman"/>
                <w:spacing w:val="-2"/>
              </w:rPr>
            </w:pPr>
            <w:r w:rsidRPr="004F5A9D">
              <w:rPr>
                <w:rFonts w:ascii="Times New Roman" w:hAnsi="Times New Roman"/>
                <w:spacing w:val="-2"/>
              </w:rPr>
              <w:t>Obliczenia w zakresie zmiany przepisów dotyczących amortyzacji pojazdów.</w:t>
            </w:r>
          </w:p>
          <w:p w14:paraId="25586FD4" w14:textId="25CE3C28" w:rsidR="00C6219C" w:rsidRPr="003C4740" w:rsidRDefault="00327D3C" w:rsidP="004F5A9D">
            <w:pPr>
              <w:pStyle w:val="Akapitzlist"/>
              <w:spacing w:line="240" w:lineRule="auto"/>
              <w:ind w:left="365"/>
              <w:jc w:val="both"/>
              <w:rPr>
                <w:rFonts w:ascii="Times New Roman" w:hAnsi="Times New Roman"/>
                <w:spacing w:val="-2"/>
              </w:rPr>
            </w:pPr>
            <w:r>
              <w:rPr>
                <w:rFonts w:ascii="Times New Roman" w:hAnsi="Times New Roman"/>
                <w:spacing w:val="-2"/>
              </w:rPr>
              <w:t>W</w:t>
            </w:r>
            <w:r w:rsidR="00C6219C" w:rsidRPr="003C4740">
              <w:rPr>
                <w:rFonts w:ascii="Times New Roman" w:hAnsi="Times New Roman"/>
                <w:spacing w:val="-2"/>
              </w:rPr>
              <w:t xml:space="preserve"> tabeli wskazano wyniki obliczeń. Metodologia wraz z uzasadnieniem w załączniku. </w:t>
            </w:r>
          </w:p>
          <w:p w14:paraId="4CC6D070" w14:textId="39A8DC6F" w:rsidR="00C6219C" w:rsidRPr="003C4740" w:rsidRDefault="00C6219C" w:rsidP="004F5A9D">
            <w:pPr>
              <w:pStyle w:val="Akapitzlist"/>
              <w:numPr>
                <w:ilvl w:val="0"/>
                <w:numId w:val="33"/>
              </w:numPr>
              <w:spacing w:line="240" w:lineRule="auto"/>
              <w:ind w:left="365" w:hanging="355"/>
              <w:jc w:val="both"/>
              <w:rPr>
                <w:rFonts w:ascii="Times New Roman" w:hAnsi="Times New Roman"/>
                <w:spacing w:val="-2"/>
              </w:rPr>
            </w:pPr>
            <w:r w:rsidRPr="003C4740">
              <w:rPr>
                <w:rFonts w:ascii="Times New Roman" w:hAnsi="Times New Roman"/>
                <w:spacing w:val="-2"/>
              </w:rPr>
              <w:t>Obliczenia w zakresie zmian przepisów dotyczących stref czystego transportu</w:t>
            </w:r>
            <w:r w:rsidR="005704FE">
              <w:rPr>
                <w:rFonts w:ascii="Times New Roman" w:hAnsi="Times New Roman"/>
                <w:spacing w:val="-2"/>
              </w:rPr>
              <w:t>.</w:t>
            </w:r>
          </w:p>
          <w:p w14:paraId="5A684E5C" w14:textId="3EF804B9" w:rsidR="00327D3C" w:rsidRPr="003C4740" w:rsidRDefault="002E5FFA" w:rsidP="004F5A9D">
            <w:pPr>
              <w:pStyle w:val="Akapitzlist"/>
              <w:ind w:left="365"/>
              <w:jc w:val="both"/>
              <w:rPr>
                <w:rFonts w:ascii="Times New Roman" w:hAnsi="Times New Roman"/>
                <w:spacing w:val="-2"/>
              </w:rPr>
            </w:pPr>
            <w:r w:rsidRPr="003C4740">
              <w:rPr>
                <w:rFonts w:ascii="Times New Roman" w:hAnsi="Times New Roman"/>
                <w:spacing w:val="-2"/>
              </w:rPr>
              <w:t xml:space="preserve">Stworzenie przez samorządy stref niskiej emisji z możliwością pobierania opłat dla pojazdów innych niż nisko emisyjne, będzie </w:t>
            </w:r>
            <w:r w:rsidR="00B00688" w:rsidRPr="003C4740">
              <w:rPr>
                <w:rFonts w:ascii="Times New Roman" w:hAnsi="Times New Roman"/>
                <w:spacing w:val="-2"/>
              </w:rPr>
              <w:t xml:space="preserve">potencjalnie </w:t>
            </w:r>
            <w:r w:rsidRPr="003C4740">
              <w:rPr>
                <w:rFonts w:ascii="Times New Roman" w:hAnsi="Times New Roman"/>
                <w:spacing w:val="-2"/>
              </w:rPr>
              <w:t>stanowiło dodatkowe źródło wpływów do budżetu</w:t>
            </w:r>
            <w:r w:rsidR="00585DBD" w:rsidRPr="003C4740">
              <w:rPr>
                <w:rFonts w:ascii="Times New Roman" w:hAnsi="Times New Roman"/>
                <w:spacing w:val="-2"/>
              </w:rPr>
              <w:t xml:space="preserve"> jednostek samorządu terytorialnego</w:t>
            </w:r>
            <w:r w:rsidRPr="003C4740">
              <w:rPr>
                <w:rFonts w:ascii="Times New Roman" w:hAnsi="Times New Roman"/>
                <w:spacing w:val="-2"/>
              </w:rPr>
              <w:t xml:space="preserve">. </w:t>
            </w:r>
            <w:r w:rsidR="00B00688" w:rsidRPr="003C4740">
              <w:rPr>
                <w:rFonts w:ascii="Times New Roman" w:hAnsi="Times New Roman"/>
                <w:spacing w:val="-2"/>
              </w:rPr>
              <w:t>Ze względu na brak obowiązku i dobrowolność samorządów</w:t>
            </w:r>
            <w:r w:rsidR="00585DBD" w:rsidRPr="003C4740">
              <w:rPr>
                <w:rFonts w:ascii="Times New Roman" w:hAnsi="Times New Roman"/>
                <w:spacing w:val="-2"/>
              </w:rPr>
              <w:t xml:space="preserve"> </w:t>
            </w:r>
            <w:r w:rsidR="00B00688" w:rsidRPr="003C4740">
              <w:rPr>
                <w:rFonts w:ascii="Times New Roman" w:hAnsi="Times New Roman"/>
                <w:spacing w:val="-2"/>
              </w:rPr>
              <w:t xml:space="preserve">w zakresie tworzenia </w:t>
            </w:r>
            <w:r w:rsidR="00585DBD" w:rsidRPr="003C4740">
              <w:rPr>
                <w:rFonts w:ascii="Times New Roman" w:hAnsi="Times New Roman"/>
                <w:spacing w:val="-2"/>
              </w:rPr>
              <w:t xml:space="preserve">stref w miastach liczących poniżej 100 tyś mieszkańców nie da się przewidzieć na jakich obszarach powstaną. </w:t>
            </w:r>
            <w:r w:rsidR="00BB3769" w:rsidRPr="003C4740">
              <w:rPr>
                <w:rFonts w:ascii="Times New Roman" w:hAnsi="Times New Roman"/>
                <w:spacing w:val="-2"/>
              </w:rPr>
              <w:t xml:space="preserve">Aktualne przepisy określają </w:t>
            </w:r>
            <w:r w:rsidR="00585DBD" w:rsidRPr="003C4740">
              <w:rPr>
                <w:rFonts w:ascii="Times New Roman" w:hAnsi="Times New Roman"/>
                <w:spacing w:val="-2"/>
              </w:rPr>
              <w:t>maksymalną stawkę opłaty jaka może być pobierana za wjazd do strefy.</w:t>
            </w:r>
            <w:r w:rsidR="00BB3769" w:rsidRPr="003C4740">
              <w:rPr>
                <w:rFonts w:ascii="Times New Roman" w:hAnsi="Times New Roman"/>
                <w:spacing w:val="-2"/>
              </w:rPr>
              <w:t xml:space="preserve"> W tym zakresie projektowane przepisy nie wprowadzają zmiany. </w:t>
            </w:r>
            <w:r w:rsidR="00154E4C" w:rsidRPr="003C4740">
              <w:rPr>
                <w:rFonts w:ascii="Times New Roman" w:hAnsi="Times New Roman"/>
                <w:spacing w:val="-2"/>
              </w:rPr>
              <w:t>Miasta w których powstaną strefy, posiadają różną strukturę floty pojazdów pod względem spełnianych norm emisji spalin Euro oraz ich sumaryczną liczbę. W</w:t>
            </w:r>
            <w:r w:rsidR="00A53FBC" w:rsidRPr="003C4740">
              <w:rPr>
                <w:rFonts w:ascii="Times New Roman" w:hAnsi="Times New Roman"/>
                <w:spacing w:val="-2"/>
              </w:rPr>
              <w:t> </w:t>
            </w:r>
            <w:r w:rsidR="00154E4C" w:rsidRPr="003C4740">
              <w:rPr>
                <w:rFonts w:ascii="Times New Roman" w:hAnsi="Times New Roman"/>
                <w:spacing w:val="-2"/>
              </w:rPr>
              <w:t xml:space="preserve">związku z powyższym brak jest możliwości oszacowania, nawet w przybliżony sposób wysokości dodatkowych wpływów </w:t>
            </w:r>
            <w:r w:rsidR="008A28B1" w:rsidRPr="003C4740">
              <w:rPr>
                <w:rFonts w:ascii="Times New Roman" w:hAnsi="Times New Roman"/>
                <w:spacing w:val="-2"/>
              </w:rPr>
              <w:t>do budżetu jednostek samorządu terytorialnego.</w:t>
            </w:r>
            <w:r w:rsidR="00154E4C" w:rsidRPr="003C4740">
              <w:rPr>
                <w:rFonts w:ascii="Times New Roman" w:hAnsi="Times New Roman"/>
                <w:spacing w:val="-2"/>
              </w:rPr>
              <w:t xml:space="preserve"> </w:t>
            </w:r>
            <w:r w:rsidR="00585DBD" w:rsidRPr="003C4740">
              <w:rPr>
                <w:rFonts w:ascii="Times New Roman" w:hAnsi="Times New Roman"/>
                <w:spacing w:val="-2"/>
              </w:rPr>
              <w:t xml:space="preserve"> </w:t>
            </w:r>
          </w:p>
          <w:p w14:paraId="37840426" w14:textId="3AB05A10" w:rsidR="00327D3C" w:rsidRPr="0066729B" w:rsidRDefault="00327D3C" w:rsidP="004F5A9D">
            <w:pPr>
              <w:pStyle w:val="Akapitzlist"/>
              <w:numPr>
                <w:ilvl w:val="0"/>
                <w:numId w:val="33"/>
              </w:numPr>
              <w:spacing w:line="240" w:lineRule="auto"/>
              <w:ind w:left="365" w:hanging="355"/>
              <w:jc w:val="both"/>
              <w:rPr>
                <w:rFonts w:ascii="Times New Roman" w:hAnsi="Times New Roman"/>
                <w:spacing w:val="-2"/>
              </w:rPr>
            </w:pPr>
            <w:r w:rsidRPr="003C4740">
              <w:rPr>
                <w:rFonts w:ascii="Times New Roman" w:hAnsi="Times New Roman"/>
                <w:spacing w:val="-2"/>
              </w:rPr>
              <w:t xml:space="preserve">Obliczenia w zakresie zmian przepisów dotyczących </w:t>
            </w:r>
            <w:r w:rsidR="005704FE">
              <w:rPr>
                <w:rFonts w:ascii="Times New Roman" w:hAnsi="Times New Roman"/>
                <w:spacing w:val="-2"/>
              </w:rPr>
              <w:t>UDT</w:t>
            </w:r>
          </w:p>
          <w:p w14:paraId="5D151470" w14:textId="77777777" w:rsidR="002E5FFA" w:rsidRPr="003C4740" w:rsidRDefault="00C6219C"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 xml:space="preserve">Źródłem finansowania nowych obowiązków nałożonych na Prezesa UDT będą wpływy z tytułu opłat za nadawanie numerów EIPA. W tabeli wskazano wyniki obliczeń. Metodologia </w:t>
            </w:r>
            <w:r w:rsidR="00A53FBC" w:rsidRPr="003C4740">
              <w:rPr>
                <w:rFonts w:ascii="Times New Roman" w:hAnsi="Times New Roman"/>
                <w:spacing w:val="-2"/>
              </w:rPr>
              <w:t>Została zaprezentowana</w:t>
            </w:r>
            <w:r w:rsidRPr="003C4740">
              <w:rPr>
                <w:rFonts w:ascii="Times New Roman" w:hAnsi="Times New Roman"/>
                <w:spacing w:val="-2"/>
              </w:rPr>
              <w:t xml:space="preserve"> </w:t>
            </w:r>
            <w:r w:rsidR="0033397C" w:rsidRPr="003C4740">
              <w:rPr>
                <w:rFonts w:ascii="Times New Roman" w:hAnsi="Times New Roman"/>
                <w:spacing w:val="-2"/>
              </w:rPr>
              <w:t xml:space="preserve">w załączniku. </w:t>
            </w:r>
          </w:p>
          <w:p w14:paraId="59841A2F" w14:textId="3EA777B9" w:rsidR="0066729B" w:rsidRPr="003C4740" w:rsidRDefault="0066729B" w:rsidP="004F5A9D">
            <w:pPr>
              <w:pStyle w:val="Akapitzlist"/>
              <w:numPr>
                <w:ilvl w:val="0"/>
                <w:numId w:val="33"/>
              </w:numPr>
              <w:spacing w:line="240" w:lineRule="auto"/>
              <w:ind w:left="365"/>
              <w:jc w:val="both"/>
              <w:rPr>
                <w:rFonts w:ascii="Times New Roman" w:hAnsi="Times New Roman"/>
                <w:spacing w:val="-2"/>
              </w:rPr>
            </w:pPr>
            <w:r w:rsidRPr="003C4740">
              <w:rPr>
                <w:rFonts w:ascii="Times New Roman" w:hAnsi="Times New Roman"/>
                <w:spacing w:val="-2"/>
              </w:rPr>
              <w:t>Kalkulacja dot. dostosowania parkingów budynków niemieszkalnych do potrzeb elektromobilności</w:t>
            </w:r>
            <w:r w:rsidR="005704FE">
              <w:rPr>
                <w:rFonts w:ascii="Times New Roman" w:hAnsi="Times New Roman"/>
                <w:spacing w:val="-2"/>
              </w:rPr>
              <w:t>.</w:t>
            </w:r>
          </w:p>
          <w:p w14:paraId="3BED6DB1" w14:textId="77777777"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Sektor publiczny charakteryzuje się niskim stopniem wznoszenia nowych budynków – zgodnie z opracowaniem Głównego Urzędu Statystycznego pn. „Efekty działalności budowlanej w 2019 r.” ilość budynków niemieszkalnych użyteczności publicznej tj. ogólnodostępnych obiektów kulturalnych, budynków o charakterze edukacyjnym, budynków szpitali i zakładów opieki medycznej oraz budynków kultury fizycznej oddanych do użytkowania w 2019 r. wyniosła 744 (o łącznej pow. użytkowej 1 092 900m2).</w:t>
            </w:r>
          </w:p>
          <w:p w14:paraId="7A8C4B5C" w14:textId="77777777"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Założenia do obliczeń:</w:t>
            </w:r>
          </w:p>
          <w:p w14:paraId="7333FBCF" w14:textId="1A7BD81B"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 xml:space="preserve">Przy założeniu średniego kosztu ładowarki 10 tys. zł (dane na podstawie rozeznania rynku) koszt ładowarek dla budynków użyteczności publicznej wyniesie 744 x 10 000 = 7 440 000 zł. Koszt infrastruktury kanałowej przyjęto jako 1300 zł  na 1 stanowisko postojowe –( dane na podstawie rozeznania rynku,).  Założono, ze koszt przy nowobudowanych obiektach  jest niższy niż przy budynkach istniejących poddawanych przebudowie.    Przyjęto, że na pow. </w:t>
            </w:r>
            <w:r w:rsidRPr="003C4740">
              <w:rPr>
                <w:rFonts w:ascii="Times New Roman" w:hAnsi="Times New Roman"/>
                <w:spacing w:val="-2"/>
              </w:rPr>
              <w:lastRenderedPageBreak/>
              <w:t>100m2 przypada 1,1 miejsca postojowego (dane na podstawie -Wyroku Wojewódzkiego Sądu Administracyjnego w Poznaniu z dnia 23 października 2015 r. II SA/Po 601/15 Określenie liczby miejsc postojowych w decyzji o warunkach zabudowy). Powierzchnia budynków nowo wybudowanych w 2019</w:t>
            </w:r>
            <w:r w:rsidR="005704FE">
              <w:rPr>
                <w:rFonts w:ascii="Times New Roman" w:hAnsi="Times New Roman"/>
                <w:spacing w:val="-2"/>
              </w:rPr>
              <w:t xml:space="preserve"> </w:t>
            </w:r>
            <w:r w:rsidRPr="003C4740">
              <w:rPr>
                <w:rFonts w:ascii="Times New Roman" w:hAnsi="Times New Roman"/>
                <w:spacing w:val="-2"/>
              </w:rPr>
              <w:t xml:space="preserve">r. budynków użyt. publicznej (tj. ogólnodostępnych obiektów kulturalnych, budynków o charakterze edukacyjnym, budynków szpitali i zakładów opieki medycznej oraz budynków kultury fizycznej) wyniosła 1 092 900 m2 na podstawie ww. danych GUS. </w:t>
            </w:r>
          </w:p>
          <w:p w14:paraId="1A64B746" w14:textId="77777777"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Pozostałe wyliczenia:</w:t>
            </w:r>
          </w:p>
          <w:p w14:paraId="24D7B3ED" w14:textId="77777777"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1 092 900 m2/100m2/1,1= 9935,45 stanowisk postojowych.</w:t>
            </w:r>
          </w:p>
          <w:p w14:paraId="021E471F" w14:textId="77777777"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 xml:space="preserve">Biorąc pod uwagę, że na co piątym stanowisku postojowym powinna znaleźć się infrastruktura kanałowa na przewody i kable elektryczne 9935,45/5=1987,09, to </w:t>
            </w:r>
          </w:p>
          <w:p w14:paraId="5E9B1054" w14:textId="6836B16E"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koszt instalacji infrastruktury kanałowej dla 1987,09</w:t>
            </w:r>
            <w:r w:rsidR="005704FE">
              <w:rPr>
                <w:rFonts w:ascii="Times New Roman" w:hAnsi="Times New Roman"/>
                <w:spacing w:val="-2"/>
              </w:rPr>
              <w:t xml:space="preserve"> </w:t>
            </w:r>
            <w:r w:rsidRPr="003C4740">
              <w:rPr>
                <w:rFonts w:ascii="Times New Roman" w:hAnsi="Times New Roman"/>
                <w:spacing w:val="-2"/>
              </w:rPr>
              <w:t xml:space="preserve">stanowisk postojowych wynosi: 2 583 217 rocznie  (1300 zł x 1987,09= 2 583 217 zł rocznie). </w:t>
            </w:r>
          </w:p>
          <w:p w14:paraId="70CC1A96" w14:textId="77777777"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Co łącznie (koszt ładowarek 7 440 000 zł+ infrastruktury kanałowej 2 583 217 zł) daje koszt w wys. 10 023 217 zł rocznie.</w:t>
            </w:r>
          </w:p>
          <w:p w14:paraId="60377ECE" w14:textId="77777777"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Dodatkowa informacja:</w:t>
            </w:r>
          </w:p>
          <w:p w14:paraId="4C089E38" w14:textId="77777777"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Zgodnie z danymi GUS ilość budynków użyteczności publicznej na przestrzeni lat 2015-2019 charakteryzuje się trendem zmiennym, wyliczono średnią oddawania budynków do użytkowania dla lat 2015-2019, która wynosi: 695,6.</w:t>
            </w:r>
          </w:p>
          <w:p w14:paraId="01AAAE14" w14:textId="77777777"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Wyjaśnienie:</w:t>
            </w:r>
          </w:p>
          <w:p w14:paraId="0BE4DFAE" w14:textId="77777777"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 xml:space="preserve">Obliczenia dla budynków niemieszkalnych użyteczności publicznej tj. ogólnodostępnych obiektów kulturalnych, budynków o charakterze edukacyjnym, budynków szpitali i zakładów opieki medycznej oraz budynków kultury fizycznej oddanych do użytkowania nie są brane do ogólnej kalkulacji OSR (wpływ na sektor finansów publicznych).Należy wskazać, że wpływ proponowanej zmiany na obciążenia budżetu Państwa, jak również budżety jednostek samorządu terytorialnego jest pomijalny. Należy podkreślić jednorazowy charakter przedmiotowego wydatku, ponoszonego w związku z realizacją całego zamierzenia budowlanego. Koszty te będą niewielką częścią wydatków i będą zawierały się już w wydatkach w niezbędnych do poniesienia w związku z realizacją inwestycji (brak konieczności wykonywania dodatkowych prac) w porównaniu do całkowitych kosztów realizacji inwestycji. </w:t>
            </w:r>
          </w:p>
          <w:p w14:paraId="06A9FD1F" w14:textId="1541B0E4" w:rsidR="0066729B" w:rsidRPr="003C4740" w:rsidRDefault="0066729B" w:rsidP="004F5A9D">
            <w:pPr>
              <w:pStyle w:val="Akapitzlist"/>
              <w:numPr>
                <w:ilvl w:val="0"/>
                <w:numId w:val="33"/>
              </w:numPr>
              <w:ind w:left="365"/>
              <w:jc w:val="both"/>
              <w:rPr>
                <w:rFonts w:ascii="Times New Roman" w:hAnsi="Times New Roman"/>
                <w:spacing w:val="-2"/>
              </w:rPr>
            </w:pPr>
            <w:r w:rsidRPr="003C4740">
              <w:rPr>
                <w:rFonts w:ascii="Times New Roman" w:hAnsi="Times New Roman"/>
                <w:spacing w:val="-2"/>
              </w:rPr>
              <w:t>Kalkulacja dot. dostosowania parkingów istniejących budynków niemieszkalnych do potrzeb rozwoju elektromobilności</w:t>
            </w:r>
            <w:r w:rsidR="005704FE">
              <w:rPr>
                <w:rFonts w:ascii="Times New Roman" w:hAnsi="Times New Roman"/>
                <w:spacing w:val="-2"/>
              </w:rPr>
              <w:t>.</w:t>
            </w:r>
          </w:p>
          <w:p w14:paraId="18746B10" w14:textId="142BCBD6"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Zgodnie z tym co powyżej, analogicznie należy wskazać, że wpływ proponowanej zmiany dla budynków mieszkalnych stanowiących własność sektora finansów publicznych, dla których obliczeń nie wykonywano, jest również pomijalny ze względu na jednorazowy charakter przedmiotowego wydatku, ponoszonego w związku z  realizacją procesu inwestycyjnego. Biorąc pod uwagę małą ilość mieszkań oddawanych do użytkowania, które są jednocześnie własnością sektora finansów publicznych – dane GUS dot. 2019r. (komunalne i społeczno-czynszowe – 4305 mieszkań) ilość ta jest znikoma. Dodatkowo</w:t>
            </w:r>
            <w:r w:rsidR="005704FE">
              <w:rPr>
                <w:rFonts w:ascii="Times New Roman" w:hAnsi="Times New Roman"/>
                <w:spacing w:val="-2"/>
              </w:rPr>
              <w:t>,</w:t>
            </w:r>
            <w:r w:rsidRPr="003C4740">
              <w:rPr>
                <w:rFonts w:ascii="Times New Roman" w:hAnsi="Times New Roman"/>
                <w:spacing w:val="-2"/>
              </w:rPr>
              <w:t xml:space="preserve"> w budynkach mieszkalnych nie będzie brany pod uwagę punkt ładowania, ponieważ zgodnie z ustawą należy brać pod uwagę wyłącznie projektowanie i budowę w sposób zapewniający instalację kanałów na przewody i kable elektryczne, na wszystkich stanowiskach postojowych, aby umożliwić zainstalowanie na późniejszym etapie punktów ładowania.</w:t>
            </w:r>
          </w:p>
          <w:p w14:paraId="42441AF0" w14:textId="6F377C46" w:rsidR="0066729B" w:rsidRPr="003C4740" w:rsidRDefault="0066729B" w:rsidP="004F5A9D">
            <w:pPr>
              <w:pStyle w:val="Akapitzlist"/>
              <w:numPr>
                <w:ilvl w:val="0"/>
                <w:numId w:val="33"/>
              </w:numPr>
              <w:ind w:left="365"/>
              <w:jc w:val="both"/>
              <w:rPr>
                <w:rFonts w:ascii="Times New Roman" w:hAnsi="Times New Roman"/>
                <w:spacing w:val="-2"/>
              </w:rPr>
            </w:pPr>
            <w:r w:rsidRPr="003C4740">
              <w:rPr>
                <w:rFonts w:ascii="Times New Roman" w:hAnsi="Times New Roman"/>
                <w:spacing w:val="-2"/>
              </w:rPr>
              <w:t>Kalkulacja dot. dostosowania parkingów wielorodzinnych budynków mieszkalnych do potrzeb elektromobilności</w:t>
            </w:r>
            <w:r w:rsidR="005704FE">
              <w:rPr>
                <w:rFonts w:ascii="Times New Roman" w:hAnsi="Times New Roman"/>
                <w:spacing w:val="-2"/>
              </w:rPr>
              <w:t>.</w:t>
            </w:r>
          </w:p>
          <w:p w14:paraId="1900DD66" w14:textId="77777777"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 xml:space="preserve">Na podstawie szacunków własnych opracowanych na podstawie Narodowego Spisu Powszechnego Ludności i Mieszkań z 2011 r. zaktualizowanych o dane dot. nowych budynków oddanych do użytku w latach 2012-2019) oraz Głównego Urzędu Geodezji i Kartografii (Krajowe zbiorcze zestawienie danych dotyczących budynków wg stanu na dzień 1 stycznia 2020 r.) przyjęto, że istniejących budynków użyteczności publicznej jest 420 000. </w:t>
            </w:r>
          </w:p>
          <w:p w14:paraId="44E054B0" w14:textId="77777777"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Na podstawie szacunków własnych przyjęto, że 10% istniejących budynków użyteczności publicznej jest jednocześnie własnością podmiotów budżetu Państwa(tj. 10% z 420 000= 42 000), z czego połowa posiada liczbę stanowisk postojowych powyżej 20 (50% z 420 000 = 21 000).</w:t>
            </w:r>
          </w:p>
          <w:p w14:paraId="2A341F63" w14:textId="77777777"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 xml:space="preserve">Szacunkowa liczba budynków użyteczności publicznej stanowiących własność podmiotów budżetu państwa, w których jest powyżej 20 stanowisk postojowych to 21 000.  </w:t>
            </w:r>
          </w:p>
          <w:p w14:paraId="2CA4E7B7" w14:textId="77777777"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 xml:space="preserve">Średnia powierzchnia budynków istniejących niemieszkalnych stanowiących własność użyteczności publicznej stanowi 1900 m2 (na podstawie opracowania ITB „Analiza wymagań techniczno – budowlanych dotyczących ochrony cieplnej budynków, celem ustalenia </w:t>
            </w:r>
            <w:r w:rsidRPr="003C4740">
              <w:rPr>
                <w:rFonts w:ascii="Times New Roman" w:hAnsi="Times New Roman"/>
                <w:spacing w:val="-2"/>
              </w:rPr>
              <w:lastRenderedPageBreak/>
              <w:t>minimalnych wymagań w zakresie charakterystyki energetycznej i przedstawienia propozycji zmian zgodnie Dyrektywą Parlamentu Europejskiego i Rady 2010/31/UE z 19 maja 2010r. w sprawie charakterystyki energetycznej budynków).</w:t>
            </w:r>
          </w:p>
          <w:p w14:paraId="17960ECD" w14:textId="77777777"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Założenia do wyliczenia:</w:t>
            </w:r>
          </w:p>
          <w:p w14:paraId="72C28B9D" w14:textId="77777777"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Przy założeniu średniego kosztu ładowarki 10 tys. zł (dane na podstawie rozeznania rynku) koszt ładowarek dla budynków użyteczności publicznej wyniesie 21 000 x 10 000 = 210 000 000 zł. Koszt infrastruktury kanałowej  to 2 000 zł na 1 stanowisko postojowe – (dane na podstawie rozeznania rynku).  Założono, ze koszt przy budynkach  istniejących poddawanych przebudowie będzie wyższy niż przy nowobudowanych obiektach  Przyjęto że na pow. 100 m2 przypada 1,1 miejsca postojowego (Wyrok Wojewódzkiego Sądu Administracyjnego w Poznaniu z dnia 23 października 2015 r. II SA/Po 601/15 Określenie liczby miejsc postojowych w decyzji o warunkach zabudowy).</w:t>
            </w:r>
          </w:p>
          <w:p w14:paraId="4F4557A3" w14:textId="77777777"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 xml:space="preserve">Pozostałe wyliczenia: </w:t>
            </w:r>
          </w:p>
          <w:p w14:paraId="323FE760" w14:textId="77777777"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Koszt dostosowania istniejących budynków niemieszkalnych użyteczności publicznej do dnia 01.01.2025 r.:</w:t>
            </w:r>
          </w:p>
          <w:p w14:paraId="77DABE1A" w14:textId="77777777"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21 000 (liczba istn. bud użyt. publ.) x 1900m2 (średnia pow.) = 39 900 000m2</w:t>
            </w:r>
          </w:p>
          <w:p w14:paraId="1DBBD446" w14:textId="77777777"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39 900 000 m2/100m2/1,1= 362 727 stanowisk postojowych.</w:t>
            </w:r>
          </w:p>
          <w:p w14:paraId="49CB3967" w14:textId="77777777"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Biorąc pod uwagę, że na co piątym miejscu postojowym powinna znaleźć się infrastruktura kanałowa na przewody i kable elektryczne 362 727/5=72 545.</w:t>
            </w:r>
          </w:p>
          <w:p w14:paraId="26093079" w14:textId="77777777"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 xml:space="preserve">Koszt instalacji infrastruktury kanałowej dla 72 545 stanowisk postojowych wynosi: 2 000 zł x 72 545= 145 090 000 zł. </w:t>
            </w:r>
          </w:p>
          <w:p w14:paraId="0036523F" w14:textId="77777777"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Co łącznie (koszt ładowarek 210 000 000  zł+ infrastruktury kanałowej 145 090 000 zł) daje koszt w wys. 355 090 000 zł.</w:t>
            </w:r>
          </w:p>
          <w:p w14:paraId="310CBC2C" w14:textId="77777777"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Biorąc pod uwagę, że termin na dostosowanie budynków określono do dnia 01.01.2025 kwotę te należy podzielić na 4 lata, co daje: rocznie ok. 88 772 500 zł.</w:t>
            </w:r>
          </w:p>
          <w:p w14:paraId="160C417E" w14:textId="73E1E5A9"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Należy jednocześnie podkreślić jednorazowy charakter przedmiotowego wydatku, ponoszonego w związku z dostosowaniem tych budynków do obowiązujących wymogów.</w:t>
            </w:r>
          </w:p>
          <w:p w14:paraId="0157D46D" w14:textId="77777777"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Przyjęto, że podział kosztów wpływu na sektor finansów publicznych wynosi</w:t>
            </w:r>
          </w:p>
          <w:p w14:paraId="1F905273" w14:textId="289BEFEE" w:rsidR="0066729B" w:rsidRPr="003C4740" w:rsidRDefault="0066729B" w:rsidP="004F5A9D">
            <w:pPr>
              <w:pStyle w:val="Akapitzlist"/>
              <w:spacing w:line="240" w:lineRule="auto"/>
              <w:ind w:left="365"/>
              <w:jc w:val="both"/>
              <w:rPr>
                <w:rFonts w:ascii="Times New Roman" w:hAnsi="Times New Roman"/>
                <w:spacing w:val="-2"/>
              </w:rPr>
            </w:pPr>
            <w:r w:rsidRPr="003C4740">
              <w:rPr>
                <w:rFonts w:ascii="Times New Roman" w:hAnsi="Times New Roman"/>
                <w:spacing w:val="-2"/>
              </w:rPr>
              <w:t>10% dla budżetu Państwa oraz 90% dla budżetów jst.</w:t>
            </w:r>
          </w:p>
        </w:tc>
      </w:tr>
      <w:tr w:rsidR="002E5FFA" w:rsidRPr="0050413F" w14:paraId="4AD3CE41" w14:textId="77777777" w:rsidTr="00676C8D">
        <w:trPr>
          <w:gridAfter w:val="1"/>
          <w:wAfter w:w="10" w:type="dxa"/>
          <w:trHeight w:val="345"/>
        </w:trPr>
        <w:tc>
          <w:tcPr>
            <w:tcW w:w="10937" w:type="dxa"/>
            <w:gridSpan w:val="29"/>
            <w:shd w:val="clear" w:color="auto" w:fill="99CCFF"/>
          </w:tcPr>
          <w:p w14:paraId="6A4A98C6" w14:textId="77777777" w:rsidR="002E5FFA" w:rsidRPr="0050413F" w:rsidRDefault="002E5FFA" w:rsidP="0050413F">
            <w:pPr>
              <w:numPr>
                <w:ilvl w:val="0"/>
                <w:numId w:val="3"/>
              </w:numPr>
              <w:spacing w:line="240" w:lineRule="auto"/>
              <w:jc w:val="both"/>
              <w:rPr>
                <w:rFonts w:ascii="Times New Roman" w:hAnsi="Times New Roman"/>
                <w:b/>
                <w:color w:val="000000"/>
                <w:spacing w:val="-2"/>
              </w:rPr>
            </w:pPr>
            <w:r w:rsidRPr="0050413F">
              <w:rPr>
                <w:rFonts w:ascii="Times New Roman" w:hAnsi="Times New Roman"/>
                <w:b/>
                <w:color w:val="000000"/>
                <w:spacing w:val="-2"/>
              </w:rPr>
              <w:lastRenderedPageBreak/>
              <w:t xml:space="preserve">Wpływ na </w:t>
            </w:r>
            <w:r w:rsidRPr="0050413F">
              <w:rPr>
                <w:rFonts w:ascii="Times New Roman" w:hAnsi="Times New Roman"/>
                <w:b/>
                <w:color w:val="000000"/>
              </w:rPr>
              <w:t xml:space="preserve">konkurencyjność gospodarki i przedsiębiorczość, w tym funkcjonowanie przedsiębiorców oraz na rodzinę, </w:t>
            </w:r>
            <w:r w:rsidR="003E3B81" w:rsidRPr="0050413F">
              <w:rPr>
                <w:rFonts w:ascii="Times New Roman" w:hAnsi="Times New Roman"/>
                <w:b/>
                <w:color w:val="000000"/>
              </w:rPr>
              <w:t>osoby starsze, osoby niepełnosprawne</w:t>
            </w:r>
            <w:r w:rsidRPr="0050413F">
              <w:rPr>
                <w:rFonts w:ascii="Times New Roman" w:hAnsi="Times New Roman"/>
                <w:b/>
                <w:color w:val="000000"/>
              </w:rPr>
              <w:t xml:space="preserve"> i gospodarstwa domowe </w:t>
            </w:r>
          </w:p>
        </w:tc>
      </w:tr>
      <w:tr w:rsidR="002E5FFA" w:rsidRPr="0050413F" w14:paraId="1CACFD7F" w14:textId="77777777" w:rsidTr="00676C8D">
        <w:trPr>
          <w:gridAfter w:val="1"/>
          <w:wAfter w:w="10" w:type="dxa"/>
          <w:trHeight w:val="142"/>
        </w:trPr>
        <w:tc>
          <w:tcPr>
            <w:tcW w:w="10937" w:type="dxa"/>
            <w:gridSpan w:val="29"/>
            <w:shd w:val="clear" w:color="auto" w:fill="FFFFFF"/>
          </w:tcPr>
          <w:p w14:paraId="3A9C63CA" w14:textId="77777777" w:rsidR="002E5FFA" w:rsidRPr="0050413F" w:rsidRDefault="002E5FFA" w:rsidP="0050413F">
            <w:pPr>
              <w:spacing w:line="240" w:lineRule="auto"/>
              <w:jc w:val="center"/>
              <w:rPr>
                <w:rFonts w:ascii="Times New Roman" w:hAnsi="Times New Roman"/>
                <w:color w:val="000000"/>
                <w:spacing w:val="-2"/>
              </w:rPr>
            </w:pPr>
            <w:r w:rsidRPr="0050413F">
              <w:rPr>
                <w:rFonts w:ascii="Times New Roman" w:hAnsi="Times New Roman"/>
                <w:color w:val="000000"/>
                <w:spacing w:val="-2"/>
              </w:rPr>
              <w:t>Skutki</w:t>
            </w:r>
          </w:p>
        </w:tc>
      </w:tr>
      <w:tr w:rsidR="002E5FFA" w:rsidRPr="0050413F" w14:paraId="0AB171A0" w14:textId="77777777" w:rsidTr="00676C8D">
        <w:trPr>
          <w:gridAfter w:val="1"/>
          <w:wAfter w:w="10" w:type="dxa"/>
          <w:trHeight w:val="142"/>
        </w:trPr>
        <w:tc>
          <w:tcPr>
            <w:tcW w:w="3889" w:type="dxa"/>
            <w:gridSpan w:val="7"/>
            <w:shd w:val="clear" w:color="auto" w:fill="FFFFFF"/>
          </w:tcPr>
          <w:p w14:paraId="3385C50F"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Czas w latach od wejścia w życie zmian</w:t>
            </w:r>
          </w:p>
        </w:tc>
        <w:tc>
          <w:tcPr>
            <w:tcW w:w="937" w:type="dxa"/>
            <w:gridSpan w:val="3"/>
            <w:shd w:val="clear" w:color="auto" w:fill="FFFFFF"/>
          </w:tcPr>
          <w:p w14:paraId="2DE594B6"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0</w:t>
            </w:r>
          </w:p>
        </w:tc>
        <w:tc>
          <w:tcPr>
            <w:tcW w:w="938" w:type="dxa"/>
            <w:gridSpan w:val="4"/>
            <w:shd w:val="clear" w:color="auto" w:fill="FFFFFF"/>
          </w:tcPr>
          <w:p w14:paraId="5B86CFCD"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1</w:t>
            </w:r>
          </w:p>
        </w:tc>
        <w:tc>
          <w:tcPr>
            <w:tcW w:w="938" w:type="dxa"/>
            <w:gridSpan w:val="4"/>
            <w:shd w:val="clear" w:color="auto" w:fill="FFFFFF"/>
          </w:tcPr>
          <w:p w14:paraId="5DDEC277"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2</w:t>
            </w:r>
          </w:p>
        </w:tc>
        <w:tc>
          <w:tcPr>
            <w:tcW w:w="937" w:type="dxa"/>
            <w:gridSpan w:val="4"/>
            <w:shd w:val="clear" w:color="auto" w:fill="FFFFFF"/>
          </w:tcPr>
          <w:p w14:paraId="45D724A6"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3</w:t>
            </w:r>
          </w:p>
        </w:tc>
        <w:tc>
          <w:tcPr>
            <w:tcW w:w="938" w:type="dxa"/>
            <w:gridSpan w:val="3"/>
            <w:shd w:val="clear" w:color="auto" w:fill="FFFFFF"/>
          </w:tcPr>
          <w:p w14:paraId="69A5D0D7"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5</w:t>
            </w:r>
          </w:p>
        </w:tc>
        <w:tc>
          <w:tcPr>
            <w:tcW w:w="938" w:type="dxa"/>
            <w:gridSpan w:val="3"/>
            <w:shd w:val="clear" w:color="auto" w:fill="FFFFFF"/>
          </w:tcPr>
          <w:p w14:paraId="1949AE76"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10</w:t>
            </w:r>
          </w:p>
        </w:tc>
        <w:tc>
          <w:tcPr>
            <w:tcW w:w="1422" w:type="dxa"/>
            <w:shd w:val="clear" w:color="auto" w:fill="FFFFFF"/>
          </w:tcPr>
          <w:p w14:paraId="3AB69CFD" w14:textId="77777777" w:rsidR="002E5FFA" w:rsidRPr="0050413F" w:rsidRDefault="002E5FFA" w:rsidP="0050413F">
            <w:pPr>
              <w:spacing w:line="240" w:lineRule="auto"/>
              <w:jc w:val="center"/>
              <w:rPr>
                <w:rFonts w:ascii="Times New Roman" w:hAnsi="Times New Roman"/>
                <w:i/>
                <w:color w:val="000000"/>
                <w:spacing w:val="-2"/>
              </w:rPr>
            </w:pPr>
            <w:r w:rsidRPr="0050413F">
              <w:rPr>
                <w:rFonts w:ascii="Times New Roman" w:hAnsi="Times New Roman"/>
                <w:i/>
                <w:color w:val="000000"/>
                <w:spacing w:val="-2"/>
              </w:rPr>
              <w:t>Łącznie</w:t>
            </w:r>
            <w:r w:rsidRPr="0050413F" w:rsidDel="0073273A">
              <w:rPr>
                <w:rFonts w:ascii="Times New Roman" w:hAnsi="Times New Roman"/>
                <w:i/>
                <w:color w:val="000000"/>
                <w:spacing w:val="-2"/>
              </w:rPr>
              <w:t xml:space="preserve"> </w:t>
            </w:r>
            <w:r w:rsidRPr="0050413F">
              <w:rPr>
                <w:rFonts w:ascii="Times New Roman" w:hAnsi="Times New Roman"/>
                <w:i/>
                <w:color w:val="000000"/>
                <w:spacing w:val="-2"/>
              </w:rPr>
              <w:t>(0-10)</w:t>
            </w:r>
          </w:p>
        </w:tc>
      </w:tr>
      <w:tr w:rsidR="006C4216" w:rsidRPr="0050413F" w14:paraId="6A0E1E7B" w14:textId="77777777" w:rsidTr="00D35DC4">
        <w:trPr>
          <w:gridAfter w:val="1"/>
          <w:wAfter w:w="10" w:type="dxa"/>
          <w:trHeight w:val="505"/>
        </w:trPr>
        <w:tc>
          <w:tcPr>
            <w:tcW w:w="1596" w:type="dxa"/>
            <w:vMerge w:val="restart"/>
            <w:shd w:val="clear" w:color="auto" w:fill="FFFFFF"/>
          </w:tcPr>
          <w:p w14:paraId="5460C730" w14:textId="77777777" w:rsidR="00D06C51" w:rsidRPr="0050413F" w:rsidRDefault="00D06C51" w:rsidP="0050413F">
            <w:pPr>
              <w:spacing w:line="240" w:lineRule="auto"/>
              <w:rPr>
                <w:rFonts w:ascii="Times New Roman" w:hAnsi="Times New Roman"/>
                <w:color w:val="000000"/>
              </w:rPr>
            </w:pPr>
            <w:r w:rsidRPr="0050413F">
              <w:rPr>
                <w:rFonts w:ascii="Times New Roman" w:hAnsi="Times New Roman"/>
                <w:color w:val="000000"/>
              </w:rPr>
              <w:t>W ujęciu pieniężnym</w:t>
            </w:r>
          </w:p>
          <w:p w14:paraId="1FC661E5" w14:textId="77777777" w:rsidR="00D06C51" w:rsidRPr="0050413F" w:rsidRDefault="00D06C51" w:rsidP="0050413F">
            <w:pPr>
              <w:spacing w:line="240" w:lineRule="auto"/>
              <w:rPr>
                <w:rFonts w:ascii="Times New Roman" w:hAnsi="Times New Roman"/>
                <w:spacing w:val="-2"/>
              </w:rPr>
            </w:pPr>
            <w:r w:rsidRPr="0050413F">
              <w:rPr>
                <w:rFonts w:ascii="Times New Roman" w:hAnsi="Times New Roman"/>
                <w:spacing w:val="-2"/>
              </w:rPr>
              <w:t xml:space="preserve">(w mln zł, </w:t>
            </w:r>
          </w:p>
          <w:p w14:paraId="18A63F6C" w14:textId="77777777" w:rsidR="00D06C51" w:rsidRPr="0050413F" w:rsidRDefault="00D06C51" w:rsidP="0050413F">
            <w:pPr>
              <w:spacing w:line="240" w:lineRule="auto"/>
              <w:rPr>
                <w:rFonts w:ascii="Times New Roman" w:hAnsi="Times New Roman"/>
                <w:color w:val="000000"/>
              </w:rPr>
            </w:pPr>
            <w:r w:rsidRPr="0050413F">
              <w:rPr>
                <w:rFonts w:ascii="Times New Roman" w:hAnsi="Times New Roman"/>
                <w:spacing w:val="-2"/>
              </w:rPr>
              <w:t>ceny stałe z …… r.)</w:t>
            </w:r>
          </w:p>
        </w:tc>
        <w:tc>
          <w:tcPr>
            <w:tcW w:w="2293" w:type="dxa"/>
            <w:gridSpan w:val="6"/>
            <w:shd w:val="clear" w:color="auto" w:fill="FFFFFF"/>
            <w:vAlign w:val="center"/>
          </w:tcPr>
          <w:p w14:paraId="3CDBD2AC" w14:textId="77777777" w:rsidR="00D06C51" w:rsidRPr="0050413F" w:rsidRDefault="00D06C51" w:rsidP="0050413F">
            <w:pPr>
              <w:spacing w:line="240" w:lineRule="auto"/>
              <w:rPr>
                <w:rFonts w:ascii="Times New Roman" w:hAnsi="Times New Roman"/>
                <w:color w:val="000000"/>
              </w:rPr>
            </w:pPr>
            <w:r w:rsidRPr="0050413F">
              <w:rPr>
                <w:rFonts w:ascii="Times New Roman" w:hAnsi="Times New Roman"/>
                <w:color w:val="000000"/>
              </w:rPr>
              <w:t>duże przedsiębiorstwa</w:t>
            </w:r>
          </w:p>
        </w:tc>
        <w:tc>
          <w:tcPr>
            <w:tcW w:w="937" w:type="dxa"/>
            <w:gridSpan w:val="3"/>
            <w:shd w:val="clear" w:color="auto" w:fill="FFFFFF"/>
            <w:vAlign w:val="center"/>
          </w:tcPr>
          <w:p w14:paraId="582DF26A"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4</w:t>
            </w:r>
          </w:p>
        </w:tc>
        <w:tc>
          <w:tcPr>
            <w:tcW w:w="938" w:type="dxa"/>
            <w:gridSpan w:val="4"/>
            <w:shd w:val="clear" w:color="auto" w:fill="FFFFFF"/>
            <w:vAlign w:val="center"/>
          </w:tcPr>
          <w:p w14:paraId="75B9B5DB"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4</w:t>
            </w:r>
          </w:p>
        </w:tc>
        <w:tc>
          <w:tcPr>
            <w:tcW w:w="938" w:type="dxa"/>
            <w:gridSpan w:val="4"/>
            <w:shd w:val="clear" w:color="auto" w:fill="FFFFFF"/>
            <w:vAlign w:val="center"/>
          </w:tcPr>
          <w:p w14:paraId="70827B3B"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4</w:t>
            </w:r>
          </w:p>
        </w:tc>
        <w:tc>
          <w:tcPr>
            <w:tcW w:w="937" w:type="dxa"/>
            <w:gridSpan w:val="4"/>
            <w:shd w:val="clear" w:color="auto" w:fill="FFFFFF"/>
            <w:vAlign w:val="center"/>
          </w:tcPr>
          <w:p w14:paraId="58BE7D32"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4</w:t>
            </w:r>
          </w:p>
        </w:tc>
        <w:tc>
          <w:tcPr>
            <w:tcW w:w="938" w:type="dxa"/>
            <w:gridSpan w:val="3"/>
            <w:shd w:val="clear" w:color="auto" w:fill="FFFFFF"/>
            <w:vAlign w:val="center"/>
          </w:tcPr>
          <w:p w14:paraId="1ED5BD42"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-206</w:t>
            </w:r>
          </w:p>
        </w:tc>
        <w:tc>
          <w:tcPr>
            <w:tcW w:w="938" w:type="dxa"/>
            <w:gridSpan w:val="3"/>
            <w:shd w:val="clear" w:color="auto" w:fill="FFFFFF"/>
            <w:vAlign w:val="center"/>
          </w:tcPr>
          <w:p w14:paraId="08CA5B81"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-1 051</w:t>
            </w:r>
          </w:p>
        </w:tc>
        <w:tc>
          <w:tcPr>
            <w:tcW w:w="1422" w:type="dxa"/>
            <w:shd w:val="clear" w:color="auto" w:fill="FFFFFF"/>
            <w:vAlign w:val="center"/>
          </w:tcPr>
          <w:p w14:paraId="56252520"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-4 171</w:t>
            </w:r>
          </w:p>
        </w:tc>
      </w:tr>
      <w:tr w:rsidR="006C4216" w:rsidRPr="0050413F" w14:paraId="74221457" w14:textId="77777777" w:rsidTr="00D35DC4">
        <w:trPr>
          <w:gridAfter w:val="1"/>
          <w:wAfter w:w="10" w:type="dxa"/>
          <w:trHeight w:val="142"/>
        </w:trPr>
        <w:tc>
          <w:tcPr>
            <w:tcW w:w="1596" w:type="dxa"/>
            <w:vMerge/>
            <w:shd w:val="clear" w:color="auto" w:fill="FFFFFF"/>
          </w:tcPr>
          <w:p w14:paraId="3AB43711" w14:textId="77777777" w:rsidR="00D06C51" w:rsidRPr="0050413F" w:rsidRDefault="00D06C51" w:rsidP="0050413F">
            <w:pPr>
              <w:spacing w:line="240" w:lineRule="auto"/>
              <w:rPr>
                <w:rFonts w:ascii="Times New Roman" w:hAnsi="Times New Roman"/>
                <w:color w:val="000000"/>
              </w:rPr>
            </w:pPr>
          </w:p>
        </w:tc>
        <w:tc>
          <w:tcPr>
            <w:tcW w:w="2293" w:type="dxa"/>
            <w:gridSpan w:val="6"/>
            <w:shd w:val="clear" w:color="auto" w:fill="FFFFFF"/>
          </w:tcPr>
          <w:p w14:paraId="2EB14D9C" w14:textId="77777777" w:rsidR="00D06C51" w:rsidRPr="0050413F" w:rsidRDefault="00D06C51" w:rsidP="0050413F">
            <w:pPr>
              <w:spacing w:line="240" w:lineRule="auto"/>
              <w:rPr>
                <w:rFonts w:ascii="Times New Roman" w:hAnsi="Times New Roman"/>
                <w:color w:val="000000"/>
              </w:rPr>
            </w:pPr>
            <w:r w:rsidRPr="0050413F">
              <w:rPr>
                <w:rFonts w:ascii="Times New Roman" w:hAnsi="Times New Roman"/>
                <w:color w:val="000000"/>
              </w:rPr>
              <w:t>sektor mikro-, małych i średnich przedsiębiorstw</w:t>
            </w:r>
          </w:p>
        </w:tc>
        <w:tc>
          <w:tcPr>
            <w:tcW w:w="937" w:type="dxa"/>
            <w:gridSpan w:val="3"/>
            <w:shd w:val="clear" w:color="auto" w:fill="FFFFFF"/>
            <w:vAlign w:val="center"/>
          </w:tcPr>
          <w:p w14:paraId="62FB299E"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9</w:t>
            </w:r>
          </w:p>
        </w:tc>
        <w:tc>
          <w:tcPr>
            <w:tcW w:w="938" w:type="dxa"/>
            <w:gridSpan w:val="4"/>
            <w:shd w:val="clear" w:color="auto" w:fill="FFFFFF"/>
            <w:vAlign w:val="center"/>
          </w:tcPr>
          <w:p w14:paraId="58788B55"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9</w:t>
            </w:r>
          </w:p>
        </w:tc>
        <w:tc>
          <w:tcPr>
            <w:tcW w:w="938" w:type="dxa"/>
            <w:gridSpan w:val="4"/>
            <w:shd w:val="clear" w:color="auto" w:fill="FFFFFF"/>
            <w:vAlign w:val="center"/>
          </w:tcPr>
          <w:p w14:paraId="23861C2A"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9</w:t>
            </w:r>
          </w:p>
        </w:tc>
        <w:tc>
          <w:tcPr>
            <w:tcW w:w="937" w:type="dxa"/>
            <w:gridSpan w:val="4"/>
            <w:shd w:val="clear" w:color="auto" w:fill="FFFFFF"/>
            <w:vAlign w:val="center"/>
          </w:tcPr>
          <w:p w14:paraId="6AF33A64"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9</w:t>
            </w:r>
          </w:p>
        </w:tc>
        <w:tc>
          <w:tcPr>
            <w:tcW w:w="938" w:type="dxa"/>
            <w:gridSpan w:val="3"/>
            <w:shd w:val="clear" w:color="auto" w:fill="FFFFFF"/>
            <w:vAlign w:val="center"/>
          </w:tcPr>
          <w:p w14:paraId="101404F1"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-438</w:t>
            </w:r>
          </w:p>
        </w:tc>
        <w:tc>
          <w:tcPr>
            <w:tcW w:w="938" w:type="dxa"/>
            <w:gridSpan w:val="3"/>
            <w:shd w:val="clear" w:color="auto" w:fill="FFFFFF"/>
            <w:vAlign w:val="center"/>
          </w:tcPr>
          <w:p w14:paraId="6B0E59B4"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-2 233</w:t>
            </w:r>
          </w:p>
        </w:tc>
        <w:tc>
          <w:tcPr>
            <w:tcW w:w="1422" w:type="dxa"/>
            <w:shd w:val="clear" w:color="auto" w:fill="FFFFFF"/>
            <w:vAlign w:val="center"/>
          </w:tcPr>
          <w:p w14:paraId="20944B86"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-8 862</w:t>
            </w:r>
          </w:p>
        </w:tc>
      </w:tr>
      <w:tr w:rsidR="002E5FFA" w:rsidRPr="0050413F" w14:paraId="23B702B4" w14:textId="77777777" w:rsidTr="008A5095">
        <w:trPr>
          <w:gridAfter w:val="1"/>
          <w:wAfter w:w="10" w:type="dxa"/>
          <w:trHeight w:val="142"/>
        </w:trPr>
        <w:tc>
          <w:tcPr>
            <w:tcW w:w="1596" w:type="dxa"/>
            <w:vMerge/>
            <w:shd w:val="clear" w:color="auto" w:fill="FFFFFF"/>
          </w:tcPr>
          <w:p w14:paraId="5A734471" w14:textId="77777777" w:rsidR="002E5FFA" w:rsidRPr="0050413F" w:rsidRDefault="002E5FFA" w:rsidP="0050413F">
            <w:pPr>
              <w:spacing w:line="240" w:lineRule="auto"/>
              <w:rPr>
                <w:rFonts w:ascii="Times New Roman" w:hAnsi="Times New Roman"/>
                <w:color w:val="000000"/>
              </w:rPr>
            </w:pPr>
          </w:p>
        </w:tc>
        <w:tc>
          <w:tcPr>
            <w:tcW w:w="2293" w:type="dxa"/>
            <w:gridSpan w:val="6"/>
            <w:shd w:val="clear" w:color="auto" w:fill="FFFFFF"/>
          </w:tcPr>
          <w:p w14:paraId="13158031"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rPr>
              <w:t xml:space="preserve">rodzina, </w:t>
            </w:r>
            <w:r w:rsidR="003E3B81" w:rsidRPr="0050413F">
              <w:rPr>
                <w:rFonts w:ascii="Times New Roman" w:hAnsi="Times New Roman"/>
              </w:rPr>
              <w:t xml:space="preserve">osoby starsze, osoby niepełnosprawne </w:t>
            </w:r>
            <w:r w:rsidRPr="0050413F">
              <w:rPr>
                <w:rFonts w:ascii="Times New Roman" w:hAnsi="Times New Roman"/>
              </w:rPr>
              <w:t>oraz gospodarstwa domowe</w:t>
            </w:r>
          </w:p>
        </w:tc>
        <w:tc>
          <w:tcPr>
            <w:tcW w:w="937" w:type="dxa"/>
            <w:gridSpan w:val="3"/>
            <w:shd w:val="clear" w:color="auto" w:fill="FFFFFF"/>
          </w:tcPr>
          <w:p w14:paraId="3AE382CF" w14:textId="77777777" w:rsidR="002E5FFA" w:rsidRPr="0050413F" w:rsidRDefault="002E5FFA" w:rsidP="0050413F">
            <w:pPr>
              <w:spacing w:line="240" w:lineRule="auto"/>
              <w:rPr>
                <w:rFonts w:ascii="Times New Roman" w:hAnsi="Times New Roman"/>
                <w:color w:val="000000"/>
              </w:rPr>
            </w:pPr>
          </w:p>
        </w:tc>
        <w:tc>
          <w:tcPr>
            <w:tcW w:w="938" w:type="dxa"/>
            <w:gridSpan w:val="4"/>
            <w:shd w:val="clear" w:color="auto" w:fill="FFFFFF"/>
          </w:tcPr>
          <w:p w14:paraId="451E2314" w14:textId="77777777" w:rsidR="002E5FFA" w:rsidRPr="0050413F" w:rsidRDefault="002E5FFA" w:rsidP="0050413F">
            <w:pPr>
              <w:spacing w:line="240" w:lineRule="auto"/>
              <w:rPr>
                <w:rFonts w:ascii="Times New Roman" w:hAnsi="Times New Roman"/>
                <w:color w:val="000000"/>
              </w:rPr>
            </w:pPr>
          </w:p>
        </w:tc>
        <w:tc>
          <w:tcPr>
            <w:tcW w:w="938" w:type="dxa"/>
            <w:gridSpan w:val="4"/>
            <w:shd w:val="clear" w:color="auto" w:fill="FFFFFF"/>
          </w:tcPr>
          <w:p w14:paraId="303494FA" w14:textId="77777777" w:rsidR="002E5FFA" w:rsidRPr="0050413F" w:rsidRDefault="002E5FFA" w:rsidP="0050413F">
            <w:pPr>
              <w:spacing w:line="240" w:lineRule="auto"/>
              <w:rPr>
                <w:rFonts w:ascii="Times New Roman" w:hAnsi="Times New Roman"/>
                <w:color w:val="000000"/>
              </w:rPr>
            </w:pPr>
          </w:p>
        </w:tc>
        <w:tc>
          <w:tcPr>
            <w:tcW w:w="937" w:type="dxa"/>
            <w:gridSpan w:val="4"/>
            <w:shd w:val="clear" w:color="auto" w:fill="FFFFFF"/>
          </w:tcPr>
          <w:p w14:paraId="6C440512" w14:textId="77777777" w:rsidR="002E5FFA" w:rsidRPr="0050413F" w:rsidRDefault="002E5FFA" w:rsidP="0050413F">
            <w:pPr>
              <w:spacing w:line="240" w:lineRule="auto"/>
              <w:rPr>
                <w:rFonts w:ascii="Times New Roman" w:hAnsi="Times New Roman"/>
                <w:color w:val="000000"/>
              </w:rPr>
            </w:pPr>
          </w:p>
        </w:tc>
        <w:tc>
          <w:tcPr>
            <w:tcW w:w="938" w:type="dxa"/>
            <w:gridSpan w:val="3"/>
            <w:shd w:val="clear" w:color="auto" w:fill="FFFFFF"/>
          </w:tcPr>
          <w:p w14:paraId="088383F8" w14:textId="77777777" w:rsidR="002E5FFA" w:rsidRPr="0050413F" w:rsidRDefault="002E5FFA" w:rsidP="0050413F">
            <w:pPr>
              <w:spacing w:line="240" w:lineRule="auto"/>
              <w:rPr>
                <w:rFonts w:ascii="Times New Roman" w:hAnsi="Times New Roman"/>
                <w:color w:val="000000"/>
              </w:rPr>
            </w:pPr>
          </w:p>
        </w:tc>
        <w:tc>
          <w:tcPr>
            <w:tcW w:w="938" w:type="dxa"/>
            <w:gridSpan w:val="3"/>
            <w:shd w:val="clear" w:color="auto" w:fill="FFFFFF"/>
          </w:tcPr>
          <w:p w14:paraId="386A8175" w14:textId="77777777" w:rsidR="002E5FFA" w:rsidRPr="0050413F" w:rsidRDefault="002E5FFA" w:rsidP="0050413F">
            <w:pPr>
              <w:spacing w:line="240" w:lineRule="auto"/>
              <w:rPr>
                <w:rFonts w:ascii="Times New Roman" w:hAnsi="Times New Roman"/>
                <w:color w:val="000000"/>
              </w:rPr>
            </w:pPr>
          </w:p>
        </w:tc>
        <w:tc>
          <w:tcPr>
            <w:tcW w:w="1422" w:type="dxa"/>
            <w:shd w:val="clear" w:color="auto" w:fill="FFFFFF"/>
          </w:tcPr>
          <w:p w14:paraId="68F54077" w14:textId="77777777" w:rsidR="002E5FFA" w:rsidRPr="0050413F" w:rsidRDefault="002E5FFA" w:rsidP="0050413F">
            <w:pPr>
              <w:spacing w:line="240" w:lineRule="auto"/>
              <w:rPr>
                <w:rFonts w:ascii="Times New Roman" w:hAnsi="Times New Roman"/>
                <w:color w:val="000000"/>
                <w:spacing w:val="-2"/>
              </w:rPr>
            </w:pPr>
          </w:p>
        </w:tc>
      </w:tr>
      <w:tr w:rsidR="002E5FFA" w:rsidRPr="0050413F" w14:paraId="46BA2512" w14:textId="77777777" w:rsidTr="00676C8D">
        <w:trPr>
          <w:gridAfter w:val="1"/>
          <w:wAfter w:w="10" w:type="dxa"/>
          <w:trHeight w:val="142"/>
        </w:trPr>
        <w:tc>
          <w:tcPr>
            <w:tcW w:w="1596" w:type="dxa"/>
            <w:vMerge w:val="restart"/>
            <w:shd w:val="clear" w:color="auto" w:fill="FFFFFF"/>
          </w:tcPr>
          <w:p w14:paraId="3EEF7554"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W ujęciu niepieniężnym</w:t>
            </w:r>
          </w:p>
        </w:tc>
        <w:tc>
          <w:tcPr>
            <w:tcW w:w="2293" w:type="dxa"/>
            <w:gridSpan w:val="6"/>
            <w:shd w:val="clear" w:color="auto" w:fill="FFFFFF"/>
          </w:tcPr>
          <w:p w14:paraId="0374EB5D"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duże przedsiębiorstwa</w:t>
            </w:r>
          </w:p>
        </w:tc>
        <w:tc>
          <w:tcPr>
            <w:tcW w:w="7048" w:type="dxa"/>
            <w:gridSpan w:val="22"/>
            <w:shd w:val="clear" w:color="auto" w:fill="FFFFFF"/>
          </w:tcPr>
          <w:p w14:paraId="0CFB0DBF" w14:textId="7C23C721" w:rsidR="002E5FFA" w:rsidRDefault="00436BE3" w:rsidP="004F5A9D">
            <w:pPr>
              <w:spacing w:line="240" w:lineRule="auto"/>
              <w:jc w:val="both"/>
              <w:rPr>
                <w:rFonts w:ascii="Times New Roman" w:hAnsi="Times New Roman"/>
                <w:color w:val="000000"/>
                <w:spacing w:val="-2"/>
              </w:rPr>
            </w:pPr>
            <w:r w:rsidRPr="0050413F">
              <w:rPr>
                <w:rFonts w:ascii="Times New Roman" w:hAnsi="Times New Roman"/>
                <w:color w:val="000000"/>
                <w:spacing w:val="-2"/>
              </w:rPr>
              <w:t>Projekt</w:t>
            </w:r>
            <w:r w:rsidR="002E5FFA" w:rsidRPr="0050413F">
              <w:rPr>
                <w:rFonts w:ascii="Times New Roman" w:hAnsi="Times New Roman"/>
                <w:color w:val="000000"/>
                <w:spacing w:val="-2"/>
              </w:rPr>
              <w:t xml:space="preserve"> wpłynie na poziom konsumpcji paliw płynnych, energii elektrycznej oraz paliw alternatywnych (głównie gazowych), rozwój infrastruktury transportu niskoemisyjnego</w:t>
            </w:r>
            <w:r w:rsidR="002B53A2">
              <w:rPr>
                <w:rFonts w:ascii="Times New Roman" w:hAnsi="Times New Roman"/>
                <w:color w:val="000000"/>
                <w:spacing w:val="-2"/>
              </w:rPr>
              <w:t xml:space="preserve"> oraz </w:t>
            </w:r>
            <w:r w:rsidR="002E5FFA" w:rsidRPr="0050413F">
              <w:rPr>
                <w:rFonts w:ascii="Times New Roman" w:hAnsi="Times New Roman"/>
                <w:color w:val="000000"/>
                <w:spacing w:val="-2"/>
              </w:rPr>
              <w:t>zwiększenie liczby pojazdów niskoemisyjnych</w:t>
            </w:r>
            <w:r w:rsidR="002B53A2">
              <w:rPr>
                <w:rFonts w:ascii="Times New Roman" w:hAnsi="Times New Roman"/>
                <w:color w:val="000000"/>
                <w:spacing w:val="-2"/>
              </w:rPr>
              <w:t>.</w:t>
            </w:r>
          </w:p>
          <w:p w14:paraId="4D50F4A6" w14:textId="77777777" w:rsidR="004F5A9D" w:rsidRPr="004F5A9D" w:rsidRDefault="004F5A9D" w:rsidP="004F5A9D">
            <w:pPr>
              <w:spacing w:line="240" w:lineRule="auto"/>
              <w:jc w:val="both"/>
              <w:rPr>
                <w:rFonts w:ascii="Times New Roman" w:hAnsi="Times New Roman"/>
                <w:color w:val="000000"/>
              </w:rPr>
            </w:pPr>
            <w:r w:rsidRPr="004F5A9D">
              <w:rPr>
                <w:rFonts w:ascii="Times New Roman" w:hAnsi="Times New Roman"/>
                <w:color w:val="000000"/>
              </w:rPr>
              <w:t xml:space="preserve">Wprowadzenie projektowanych regulacji może mieć wpływ na: wzrost innowacyjności przedsiębiorstw oraz zwiększenie popytu na rozwiązania </w:t>
            </w:r>
          </w:p>
          <w:p w14:paraId="184B965D" w14:textId="77777777" w:rsidR="004F5A9D" w:rsidRDefault="004F5A9D" w:rsidP="004F5A9D">
            <w:pPr>
              <w:spacing w:line="240" w:lineRule="auto"/>
              <w:jc w:val="both"/>
              <w:rPr>
                <w:rFonts w:ascii="Times New Roman" w:hAnsi="Times New Roman"/>
                <w:color w:val="000000"/>
              </w:rPr>
            </w:pPr>
            <w:r w:rsidRPr="004F5A9D">
              <w:rPr>
                <w:rFonts w:ascii="Times New Roman" w:hAnsi="Times New Roman"/>
                <w:color w:val="000000"/>
              </w:rPr>
              <w:t>z obszaru infrastruktury na potrzeby elektromobilności. Jednocześnie budynki zajmowane przez przedsiębiorstwa w określonych sytuacjach będą musiały  spełnić nowe wymogi.</w:t>
            </w:r>
          </w:p>
          <w:p w14:paraId="37760C14" w14:textId="46A4E609" w:rsidR="002B53A2" w:rsidRPr="004F5A9D" w:rsidRDefault="002B53A2" w:rsidP="004F5A9D">
            <w:pPr>
              <w:spacing w:line="240" w:lineRule="auto"/>
              <w:jc w:val="both"/>
              <w:rPr>
                <w:rFonts w:ascii="Times New Roman" w:hAnsi="Times New Roman"/>
                <w:color w:val="000000"/>
              </w:rPr>
            </w:pPr>
            <w:r w:rsidRPr="002B53A2">
              <w:rPr>
                <w:rFonts w:ascii="Times New Roman" w:hAnsi="Times New Roman"/>
                <w:color w:val="000000"/>
              </w:rPr>
              <w:t xml:space="preserve">Projektowane rozwiązania nie wpłyną na zwiększenie kosztów eksploatacyjnych pojazdów - kosztów związanych bezpośrednio z jego użytkowaniem. W przypadku przepisów dotyczących stref czystego transportu konieczne będzie poniesienie opłaty za wjazd na teren strefy, jednakże obecna konstrukcja przepisów oraz uzależnienie kształtu i zasad funkcjonowania strefy od decyzji samorządów uniemożliwia oszacowanie skutków finansowych dla sektora finansów publicznych oraz wpływu na koszty eksploatacyjne pojazdów. Wprowadzane w projekcie opłaty związane z </w:t>
            </w:r>
            <w:r w:rsidRPr="002B53A2">
              <w:rPr>
                <w:rFonts w:ascii="Times New Roman" w:hAnsi="Times New Roman"/>
                <w:color w:val="000000"/>
              </w:rPr>
              <w:lastRenderedPageBreak/>
              <w:t>nadawaniem numerów identyfikacyjnych stacjom ładowania w systemie EIPA, nie powinny wpłynąć na koszty ładowania ponoszone przez użytkowników rynku.</w:t>
            </w:r>
          </w:p>
        </w:tc>
      </w:tr>
      <w:tr w:rsidR="002E5FFA" w:rsidRPr="0050413F" w14:paraId="78265DA5" w14:textId="77777777" w:rsidTr="00676C8D">
        <w:trPr>
          <w:gridAfter w:val="1"/>
          <w:wAfter w:w="10" w:type="dxa"/>
          <w:trHeight w:val="142"/>
        </w:trPr>
        <w:tc>
          <w:tcPr>
            <w:tcW w:w="1596" w:type="dxa"/>
            <w:vMerge/>
            <w:shd w:val="clear" w:color="auto" w:fill="FFFFFF"/>
          </w:tcPr>
          <w:p w14:paraId="6E2CFA27" w14:textId="77777777" w:rsidR="002E5FFA" w:rsidRPr="0050413F" w:rsidRDefault="002E5FFA" w:rsidP="0050413F">
            <w:pPr>
              <w:spacing w:line="240" w:lineRule="auto"/>
              <w:rPr>
                <w:rFonts w:ascii="Times New Roman" w:hAnsi="Times New Roman"/>
                <w:color w:val="000000"/>
              </w:rPr>
            </w:pPr>
          </w:p>
        </w:tc>
        <w:tc>
          <w:tcPr>
            <w:tcW w:w="2293" w:type="dxa"/>
            <w:gridSpan w:val="6"/>
            <w:shd w:val="clear" w:color="auto" w:fill="FFFFFF"/>
          </w:tcPr>
          <w:p w14:paraId="4E85A978"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sektor mikro-, małych i średnich przedsiębiorstw</w:t>
            </w:r>
          </w:p>
        </w:tc>
        <w:tc>
          <w:tcPr>
            <w:tcW w:w="7048" w:type="dxa"/>
            <w:gridSpan w:val="22"/>
            <w:shd w:val="clear" w:color="auto" w:fill="FFFFFF"/>
          </w:tcPr>
          <w:p w14:paraId="58776C97" w14:textId="77777777" w:rsidR="002E5FFA" w:rsidRDefault="00436BE3" w:rsidP="004F5A9D">
            <w:pPr>
              <w:spacing w:line="240" w:lineRule="auto"/>
              <w:jc w:val="both"/>
              <w:rPr>
                <w:rFonts w:ascii="Times New Roman" w:hAnsi="Times New Roman"/>
                <w:color w:val="000000"/>
                <w:spacing w:val="-2"/>
              </w:rPr>
            </w:pPr>
            <w:r w:rsidRPr="0050413F">
              <w:rPr>
                <w:rFonts w:ascii="Times New Roman" w:hAnsi="Times New Roman"/>
                <w:color w:val="000000"/>
                <w:spacing w:val="-2"/>
              </w:rPr>
              <w:t>Projekt</w:t>
            </w:r>
            <w:r w:rsidR="002E5FFA" w:rsidRPr="0050413F">
              <w:rPr>
                <w:rFonts w:ascii="Times New Roman" w:hAnsi="Times New Roman"/>
                <w:color w:val="000000"/>
                <w:spacing w:val="-2"/>
              </w:rPr>
              <w:t xml:space="preserve"> wpłynie na poziom konsumpcji paliw płynnych, energii elektrycznej oraz paliw alternatywnych (głównie gazowych), rozwój infrastruktury transportu niskoemisyjnego, zwiększenie liczby pojazdów niskoemisyjnych koszty eksploatacji pojazdów.</w:t>
            </w:r>
          </w:p>
          <w:p w14:paraId="4AFC376B" w14:textId="77777777" w:rsidR="004F5A9D" w:rsidRPr="004F5A9D" w:rsidRDefault="004F5A9D" w:rsidP="004F5A9D">
            <w:pPr>
              <w:spacing w:line="240" w:lineRule="auto"/>
              <w:jc w:val="both"/>
              <w:rPr>
                <w:rFonts w:ascii="Times New Roman" w:hAnsi="Times New Roman"/>
                <w:color w:val="000000"/>
              </w:rPr>
            </w:pPr>
            <w:r w:rsidRPr="004F5A9D">
              <w:rPr>
                <w:rFonts w:ascii="Times New Roman" w:hAnsi="Times New Roman"/>
                <w:color w:val="000000"/>
              </w:rPr>
              <w:t xml:space="preserve">Wprowadzenie projektowanych regulacji może mieć wpływ na: wzrost innowacyjności przedsiębiorstw oraz zwiększenie popytu na rozwiązania </w:t>
            </w:r>
          </w:p>
          <w:p w14:paraId="1E616992" w14:textId="77777777" w:rsidR="004F5A9D" w:rsidRDefault="004F5A9D" w:rsidP="004F5A9D">
            <w:pPr>
              <w:spacing w:line="240" w:lineRule="auto"/>
              <w:jc w:val="both"/>
              <w:rPr>
                <w:rFonts w:ascii="Times New Roman" w:hAnsi="Times New Roman"/>
                <w:color w:val="000000"/>
              </w:rPr>
            </w:pPr>
            <w:r w:rsidRPr="004F5A9D">
              <w:rPr>
                <w:rFonts w:ascii="Times New Roman" w:hAnsi="Times New Roman"/>
                <w:color w:val="000000"/>
              </w:rPr>
              <w:t>z obszaru infrastruktury na potrzeby elektromobilności. Jednocześnie budynki zajmowane przez przedsiębiorstwa w określonych sytuacjach będą musiały  spełnić nowe wymogi.</w:t>
            </w:r>
          </w:p>
          <w:p w14:paraId="78C351CF" w14:textId="744AD846" w:rsidR="002B53A2" w:rsidRPr="002B53A2" w:rsidRDefault="002B53A2" w:rsidP="004F5A9D">
            <w:pPr>
              <w:spacing w:line="240" w:lineRule="auto"/>
              <w:jc w:val="both"/>
              <w:rPr>
                <w:rFonts w:ascii="Times New Roman" w:hAnsi="Times New Roman"/>
                <w:color w:val="000000"/>
              </w:rPr>
            </w:pPr>
            <w:r w:rsidRPr="002B53A2">
              <w:rPr>
                <w:rFonts w:ascii="Times New Roman" w:hAnsi="Times New Roman"/>
                <w:color w:val="000000"/>
              </w:rPr>
              <w:t>Projektowane rozwiązania nie wpłyną na zwiększenie kosztów eksploatacyjnych pojazdów - kosztów związanych bezpośrednio z jego użytkowaniem. W przypadku przepisów dotyczących stref czystego transportu konieczne będzie poniesienie opłaty za wjazd na teren strefy, jednakże obecna konstrukcja przepisów oraz uzależnienie kształtu i zasad funkcjonowania strefy od decyzji samorządów uniemożliwia oszacowanie skutków finansowych dla sektora finansów publicznych oraz wpływu na koszty eksploatacyjne pojazdów. Wprowadzane w projekcie opłaty związane z nadawaniem numerów identyfikacyjnych stacjom ładowania w systemie EIPA, nie powinny wpłynąć na koszty ładowania ponoszone przez użytkowników rynku.</w:t>
            </w:r>
          </w:p>
        </w:tc>
      </w:tr>
      <w:tr w:rsidR="002E5FFA" w:rsidRPr="0050413F" w14:paraId="7D8851F3" w14:textId="77777777" w:rsidTr="00676C8D">
        <w:trPr>
          <w:gridAfter w:val="1"/>
          <w:wAfter w:w="10" w:type="dxa"/>
          <w:trHeight w:val="596"/>
        </w:trPr>
        <w:tc>
          <w:tcPr>
            <w:tcW w:w="1596" w:type="dxa"/>
            <w:vMerge/>
            <w:shd w:val="clear" w:color="auto" w:fill="FFFFFF"/>
          </w:tcPr>
          <w:p w14:paraId="72E36F0F" w14:textId="77777777" w:rsidR="002E5FFA" w:rsidRPr="0050413F" w:rsidRDefault="002E5FFA" w:rsidP="0050413F">
            <w:pPr>
              <w:spacing w:line="240" w:lineRule="auto"/>
              <w:rPr>
                <w:rFonts w:ascii="Times New Roman" w:hAnsi="Times New Roman"/>
                <w:color w:val="000000"/>
              </w:rPr>
            </w:pPr>
          </w:p>
        </w:tc>
        <w:tc>
          <w:tcPr>
            <w:tcW w:w="2293" w:type="dxa"/>
            <w:gridSpan w:val="6"/>
            <w:shd w:val="clear" w:color="auto" w:fill="FFFFFF"/>
          </w:tcPr>
          <w:p w14:paraId="1A2896DA" w14:textId="77777777" w:rsidR="002E5FFA" w:rsidRPr="0050413F" w:rsidRDefault="002E5FFA" w:rsidP="0050413F">
            <w:pPr>
              <w:tabs>
                <w:tab w:val="right" w:pos="1936"/>
              </w:tabs>
              <w:spacing w:line="240" w:lineRule="auto"/>
              <w:rPr>
                <w:rFonts w:ascii="Times New Roman" w:hAnsi="Times New Roman"/>
                <w:color w:val="000000"/>
              </w:rPr>
            </w:pPr>
            <w:r w:rsidRPr="0050413F">
              <w:rPr>
                <w:rFonts w:ascii="Times New Roman" w:hAnsi="Times New Roman"/>
              </w:rPr>
              <w:t>rodzina,</w:t>
            </w:r>
            <w:r w:rsidR="003E3B81" w:rsidRPr="0050413F">
              <w:rPr>
                <w:rFonts w:ascii="Times New Roman" w:hAnsi="Times New Roman"/>
              </w:rPr>
              <w:t xml:space="preserve"> osoby starsze, osoby niepełnosprawne</w:t>
            </w:r>
            <w:r w:rsidRPr="0050413F">
              <w:rPr>
                <w:rFonts w:ascii="Times New Roman" w:hAnsi="Times New Roman"/>
              </w:rPr>
              <w:t xml:space="preserve"> oraz gospodarstwa domowe</w:t>
            </w:r>
            <w:r w:rsidRPr="0050413F">
              <w:rPr>
                <w:rFonts w:ascii="Times New Roman" w:hAnsi="Times New Roman"/>
                <w:color w:val="000000"/>
              </w:rPr>
              <w:t xml:space="preserve"> </w:t>
            </w:r>
          </w:p>
        </w:tc>
        <w:tc>
          <w:tcPr>
            <w:tcW w:w="7048" w:type="dxa"/>
            <w:gridSpan w:val="22"/>
            <w:shd w:val="clear" w:color="auto" w:fill="FFFFFF"/>
          </w:tcPr>
          <w:p w14:paraId="222FDB2D" w14:textId="77777777" w:rsidR="002E5FFA" w:rsidRPr="0050413F" w:rsidRDefault="00436BE3" w:rsidP="004F5A9D">
            <w:pPr>
              <w:spacing w:line="240" w:lineRule="auto"/>
              <w:jc w:val="both"/>
              <w:rPr>
                <w:rFonts w:ascii="Times New Roman" w:hAnsi="Times New Roman"/>
                <w:color w:val="000000"/>
                <w:spacing w:val="-2"/>
              </w:rPr>
            </w:pPr>
            <w:r w:rsidRPr="0050413F">
              <w:rPr>
                <w:rFonts w:ascii="Times New Roman" w:hAnsi="Times New Roman"/>
                <w:color w:val="000000"/>
                <w:spacing w:val="-2"/>
              </w:rPr>
              <w:t>Projekt</w:t>
            </w:r>
            <w:r w:rsidR="002E5FFA" w:rsidRPr="0050413F">
              <w:rPr>
                <w:rFonts w:ascii="Times New Roman" w:hAnsi="Times New Roman"/>
                <w:color w:val="000000"/>
                <w:spacing w:val="-2"/>
              </w:rPr>
              <w:t xml:space="preserve"> wpłynie na poziom konsumpcji paliw płynnych, energii elektrycznej oraz paliw alternatywnych (głównie gazowych), rozwój infrastruktury transportu niskoemisyjnego, zwiększenie liczby pojazdów niskoemisyjnych koszty eksploatacji pojazdów.</w:t>
            </w:r>
          </w:p>
          <w:p w14:paraId="20F806BF" w14:textId="77777777" w:rsidR="0013433E" w:rsidRPr="0050413F" w:rsidRDefault="0013433E" w:rsidP="004F5A9D">
            <w:pPr>
              <w:spacing w:line="240" w:lineRule="auto"/>
              <w:jc w:val="both"/>
              <w:rPr>
                <w:rFonts w:ascii="Times New Roman" w:hAnsi="Times New Roman"/>
                <w:color w:val="000000"/>
                <w:spacing w:val="-2"/>
              </w:rPr>
            </w:pPr>
            <w:r w:rsidRPr="0050413F">
              <w:rPr>
                <w:rFonts w:ascii="Times New Roman" w:hAnsi="Times New Roman"/>
                <w:color w:val="000000"/>
                <w:spacing w:val="-2"/>
              </w:rPr>
              <w:t>Rodziny posiadające samochody elektryczne odniosą korzyści niematerialne związane z zapisanymi w ustawie przywilejami oraz korzyści finansowe związane z niższymi kosztami eksploatacji tych pojazdów.</w:t>
            </w:r>
          </w:p>
          <w:p w14:paraId="6627861B" w14:textId="0A19150C" w:rsidR="0013433E" w:rsidRPr="0050413F" w:rsidRDefault="00436BE3" w:rsidP="004F5A9D">
            <w:pPr>
              <w:spacing w:line="240" w:lineRule="auto"/>
              <w:jc w:val="both"/>
              <w:rPr>
                <w:rFonts w:ascii="Times New Roman" w:hAnsi="Times New Roman"/>
                <w:color w:val="000000"/>
                <w:spacing w:val="-2"/>
              </w:rPr>
            </w:pPr>
            <w:r w:rsidRPr="0050413F">
              <w:rPr>
                <w:rFonts w:ascii="Times New Roman" w:hAnsi="Times New Roman"/>
                <w:color w:val="000000"/>
                <w:spacing w:val="-2"/>
              </w:rPr>
              <w:t>Projekt</w:t>
            </w:r>
            <w:r w:rsidR="002E5FFA" w:rsidRPr="0050413F">
              <w:rPr>
                <w:rFonts w:ascii="Times New Roman" w:hAnsi="Times New Roman"/>
                <w:color w:val="000000"/>
                <w:spacing w:val="-2"/>
              </w:rPr>
              <w:t xml:space="preserve"> pozytywnie wpłynie na efekt zdrowotny w związku z obniżeniem poziomu spalin i hałasu, skutkując niższymi prywatnymi </w:t>
            </w:r>
            <w:r w:rsidR="0013433E" w:rsidRPr="0050413F">
              <w:rPr>
                <w:rFonts w:ascii="Times New Roman" w:hAnsi="Times New Roman"/>
                <w:color w:val="000000"/>
                <w:spacing w:val="-2"/>
              </w:rPr>
              <w:t>oraz finansowymi z</w:t>
            </w:r>
            <w:r w:rsidR="00F36476" w:rsidRPr="0050413F">
              <w:rPr>
                <w:rFonts w:ascii="Times New Roman" w:hAnsi="Times New Roman"/>
                <w:color w:val="000000"/>
                <w:spacing w:val="-2"/>
              </w:rPr>
              <w:t> </w:t>
            </w:r>
            <w:r w:rsidR="0013433E" w:rsidRPr="0050413F">
              <w:rPr>
                <w:rFonts w:ascii="Times New Roman" w:hAnsi="Times New Roman"/>
                <w:color w:val="000000"/>
                <w:spacing w:val="-2"/>
              </w:rPr>
              <w:t>budżetu Państwa wydatkami na ochronę zdrowia. Rozwój elektromobilności przyczyni się do poprawy stanu środowiska naturalnego. Pozwoli także zniwelować jego szkodliwe skutki jak np. zanieczyszczania powietrza w</w:t>
            </w:r>
            <w:r w:rsidR="00F36476" w:rsidRPr="0050413F">
              <w:rPr>
                <w:rFonts w:ascii="Times New Roman" w:hAnsi="Times New Roman"/>
                <w:color w:val="000000"/>
                <w:spacing w:val="-2"/>
              </w:rPr>
              <w:t> </w:t>
            </w:r>
            <w:r w:rsidR="0013433E" w:rsidRPr="0050413F">
              <w:rPr>
                <w:rFonts w:ascii="Times New Roman" w:hAnsi="Times New Roman"/>
                <w:color w:val="000000"/>
                <w:spacing w:val="-2"/>
              </w:rPr>
              <w:t xml:space="preserve">obszarach miejskich których negatywne skutki odczuwają głównie osoby starsze niepełnosprawne posiadające schorzenia dróg oddechowych oraz dzieci. </w:t>
            </w:r>
          </w:p>
          <w:p w14:paraId="2AA4561D" w14:textId="75B270AE" w:rsidR="002E5FFA" w:rsidRPr="0050413F" w:rsidRDefault="00F36476" w:rsidP="002B53A2">
            <w:pPr>
              <w:spacing w:line="240" w:lineRule="auto"/>
              <w:jc w:val="both"/>
              <w:rPr>
                <w:rFonts w:ascii="Times New Roman" w:hAnsi="Times New Roman"/>
                <w:color w:val="000000"/>
                <w:spacing w:val="-2"/>
              </w:rPr>
            </w:pPr>
            <w:r w:rsidRPr="0050413F">
              <w:rPr>
                <w:rFonts w:ascii="Times New Roman" w:hAnsi="Times New Roman"/>
                <w:color w:val="000000"/>
              </w:rPr>
              <w:t xml:space="preserve">Należy zauważyć, że regulacje zawarte w projekcie dotyczą w przeważającej części przedsiębiorców – oprócz przepisów dotyczących stref czystego transportu - i nie będą miały wpływu na </w:t>
            </w:r>
            <w:r w:rsidRPr="0050413F">
              <w:rPr>
                <w:rFonts w:ascii="Times New Roman" w:hAnsi="Times New Roman"/>
              </w:rPr>
              <w:t xml:space="preserve">rodzinę, osoby starsze, osoby niepełnosprawne oprócz ww. pozytywnych skutków dla zdrowia społeczeństwa. </w:t>
            </w:r>
          </w:p>
        </w:tc>
      </w:tr>
      <w:tr w:rsidR="002E5FFA" w:rsidRPr="0050413F" w14:paraId="3ADBFD35" w14:textId="77777777" w:rsidTr="00676C8D">
        <w:trPr>
          <w:gridAfter w:val="1"/>
          <w:wAfter w:w="10" w:type="dxa"/>
          <w:trHeight w:val="142"/>
        </w:trPr>
        <w:tc>
          <w:tcPr>
            <w:tcW w:w="1596" w:type="dxa"/>
            <w:shd w:val="clear" w:color="auto" w:fill="FFFFFF"/>
          </w:tcPr>
          <w:p w14:paraId="71BCD90D"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Niemierzalne</w:t>
            </w:r>
          </w:p>
        </w:tc>
        <w:tc>
          <w:tcPr>
            <w:tcW w:w="2293" w:type="dxa"/>
            <w:gridSpan w:val="6"/>
            <w:shd w:val="clear" w:color="auto" w:fill="FFFFFF"/>
          </w:tcPr>
          <w:p w14:paraId="74DFB8A3"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spacing w:val="-2"/>
              </w:rPr>
              <w:t>przedsiębiorstwa (w tym MŚP)</w:t>
            </w:r>
          </w:p>
        </w:tc>
        <w:tc>
          <w:tcPr>
            <w:tcW w:w="7048" w:type="dxa"/>
            <w:gridSpan w:val="22"/>
            <w:shd w:val="clear" w:color="auto" w:fill="FFFFFF"/>
          </w:tcPr>
          <w:p w14:paraId="45BB3B3A" w14:textId="77777777" w:rsidR="002E5FFA" w:rsidRPr="0050413F" w:rsidRDefault="002E5FFA" w:rsidP="004F5A9D">
            <w:pPr>
              <w:spacing w:line="240" w:lineRule="auto"/>
              <w:jc w:val="both"/>
              <w:rPr>
                <w:rFonts w:ascii="Times New Roman" w:hAnsi="Times New Roman"/>
                <w:color w:val="000000"/>
                <w:spacing w:val="-2"/>
              </w:rPr>
            </w:pPr>
            <w:r w:rsidRPr="0050413F">
              <w:rPr>
                <w:rFonts w:ascii="Times New Roman" w:hAnsi="Times New Roman"/>
                <w:color w:val="000000"/>
                <w:spacing w:val="-2"/>
              </w:rPr>
              <w:t>Wzrost innowacyjności przedsiębiorstw i rozwój badań nad nowymi technologiami, na skutek rozwoju rynku paliw alternatywnych (szczególnie elektromobilności) może przyczynić się do rozwoju przedsiębiorstw związanych z przemysłem samochodowym, produkcją akumulatorów i magazynowaniem energii, przedsiębiorstw energetycznych, teleinformatycznych oraz telekomunikacyjnych produkujących lub świadczących usługi na potrzeby transportu.</w:t>
            </w:r>
          </w:p>
        </w:tc>
      </w:tr>
      <w:tr w:rsidR="002E5FFA" w:rsidRPr="0050413F" w14:paraId="5D7AED98" w14:textId="77777777" w:rsidTr="00676C8D">
        <w:trPr>
          <w:gridAfter w:val="1"/>
          <w:wAfter w:w="10" w:type="dxa"/>
          <w:trHeight w:val="1643"/>
        </w:trPr>
        <w:tc>
          <w:tcPr>
            <w:tcW w:w="2243" w:type="dxa"/>
            <w:gridSpan w:val="2"/>
            <w:shd w:val="clear" w:color="auto" w:fill="FFFFFF"/>
          </w:tcPr>
          <w:p w14:paraId="248DABA1"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 xml:space="preserve">Dodatkowe informacje, w tym wskazanie źródeł danych i przyjętych do obliczeń założeń </w:t>
            </w:r>
          </w:p>
        </w:tc>
        <w:tc>
          <w:tcPr>
            <w:tcW w:w="8694" w:type="dxa"/>
            <w:gridSpan w:val="27"/>
            <w:shd w:val="clear" w:color="auto" w:fill="FFFFFF"/>
            <w:vAlign w:val="center"/>
          </w:tcPr>
          <w:p w14:paraId="3BDF0B63" w14:textId="5999B972" w:rsidR="002E5FFA" w:rsidRDefault="002E5FFA" w:rsidP="0050413F">
            <w:pPr>
              <w:spacing w:line="240" w:lineRule="auto"/>
              <w:jc w:val="both"/>
              <w:rPr>
                <w:rFonts w:ascii="Times New Roman" w:hAnsi="Times New Roman"/>
                <w:color w:val="000000"/>
              </w:rPr>
            </w:pPr>
            <w:r w:rsidRPr="0050413F">
              <w:rPr>
                <w:rFonts w:ascii="Times New Roman" w:hAnsi="Times New Roman"/>
                <w:color w:val="000000"/>
              </w:rPr>
              <w:t>Projektowane przepis ma</w:t>
            </w:r>
            <w:r w:rsidR="00436BE3" w:rsidRPr="0050413F">
              <w:rPr>
                <w:rFonts w:ascii="Times New Roman" w:hAnsi="Times New Roman"/>
                <w:color w:val="000000"/>
              </w:rPr>
              <w:t>ją</w:t>
            </w:r>
            <w:r w:rsidRPr="0050413F">
              <w:rPr>
                <w:rFonts w:ascii="Times New Roman" w:hAnsi="Times New Roman"/>
                <w:color w:val="000000"/>
              </w:rPr>
              <w:t xml:space="preserve"> na celu pobudzenie rynku ekologicznie czystych i energooszczędnych pojazdów w tym transportu drogowego poprzez stworzenie bodźców po stronie popytu, a tym samym synergii między sektorem energetycznym, gazowym i motoryzacyjnym.</w:t>
            </w:r>
            <w:r w:rsidR="00436BE3" w:rsidRPr="0050413F">
              <w:rPr>
                <w:rFonts w:ascii="Times New Roman" w:hAnsi="Times New Roman"/>
                <w:color w:val="000000"/>
              </w:rPr>
              <w:t xml:space="preserve"> </w:t>
            </w:r>
            <w:r w:rsidRPr="0050413F">
              <w:rPr>
                <w:rFonts w:ascii="Times New Roman" w:hAnsi="Times New Roman"/>
                <w:color w:val="000000"/>
              </w:rPr>
              <w:t>Jest to obszar wciąż niezagospodarowany, w którym istnieje ogromny potencjał wzrostu, a bariery wejścia, i tym samym możliwości dla podmiotów z nowymi modelami biznesowymi, są zdecydowanie mniejsze niż w transporcie opartym o napęd spalinowy. Polska posiada znaczący potencjał wiedzy i zasoby kadrowe, również w sektorze ICT, co jest bardzo istotnym elementem dla rozwoju pojazdów napędzanych energią elektryczną.</w:t>
            </w:r>
            <w:r w:rsidR="00436BE3" w:rsidRPr="0050413F">
              <w:rPr>
                <w:rFonts w:ascii="Times New Roman" w:hAnsi="Times New Roman"/>
                <w:color w:val="000000"/>
              </w:rPr>
              <w:t xml:space="preserve"> </w:t>
            </w:r>
            <w:r w:rsidRPr="0050413F">
              <w:rPr>
                <w:rFonts w:ascii="Times New Roman" w:hAnsi="Times New Roman"/>
                <w:color w:val="000000"/>
              </w:rPr>
              <w:t xml:space="preserve">Rozwój elektromobilności przyczyni się do dalszych inwestycji w sektorze motoryzacyjnym na terenie </w:t>
            </w:r>
            <w:r w:rsidR="002B53A2">
              <w:rPr>
                <w:rFonts w:ascii="Times New Roman" w:hAnsi="Times New Roman"/>
                <w:color w:val="000000"/>
              </w:rPr>
              <w:t>P</w:t>
            </w:r>
            <w:r w:rsidR="002B53A2" w:rsidRPr="0050413F">
              <w:rPr>
                <w:rFonts w:ascii="Times New Roman" w:hAnsi="Times New Roman"/>
                <w:color w:val="000000"/>
              </w:rPr>
              <w:t>olski</w:t>
            </w:r>
            <w:r w:rsidRPr="0050413F">
              <w:rPr>
                <w:rFonts w:ascii="Times New Roman" w:hAnsi="Times New Roman"/>
                <w:color w:val="000000"/>
              </w:rPr>
              <w:t xml:space="preserve">. Zwiększenie krajowego popytu stworzy mechanizmy stymulujące rozwój rynku pojazdów niskoemisyjnych oraz ich infrastruktury a także obsługi. </w:t>
            </w:r>
          </w:p>
          <w:p w14:paraId="1CE6F0B3" w14:textId="77777777" w:rsidR="004F5A9D" w:rsidRPr="004F5A9D" w:rsidRDefault="004F5A9D" w:rsidP="004F5A9D">
            <w:pPr>
              <w:spacing w:line="240" w:lineRule="auto"/>
              <w:jc w:val="both"/>
              <w:rPr>
                <w:rFonts w:ascii="Times New Roman" w:hAnsi="Times New Roman"/>
                <w:color w:val="000000"/>
              </w:rPr>
            </w:pPr>
            <w:r w:rsidRPr="004F5A9D">
              <w:rPr>
                <w:rFonts w:ascii="Times New Roman" w:hAnsi="Times New Roman"/>
                <w:color w:val="000000"/>
              </w:rPr>
              <w:lastRenderedPageBreak/>
              <w:t xml:space="preserve">Należy zwrócić uwagę, że nowa regulacja poprzez wprowadzenie obowiązków w zakresie montażu infrastruktury przeznaczonej dla pojazdów elektrycznych może przełożyć się na wzrost kosztu budowy lub eksploatacji budynku. </w:t>
            </w:r>
          </w:p>
          <w:p w14:paraId="5CBD1928" w14:textId="62ACB48E" w:rsidR="004F5A9D" w:rsidRPr="0050413F" w:rsidRDefault="004F5A9D" w:rsidP="004F5A9D">
            <w:pPr>
              <w:spacing w:line="240" w:lineRule="auto"/>
              <w:jc w:val="both"/>
              <w:rPr>
                <w:rFonts w:ascii="Times New Roman" w:hAnsi="Times New Roman"/>
                <w:color w:val="000000"/>
              </w:rPr>
            </w:pPr>
            <w:r w:rsidRPr="004F5A9D">
              <w:rPr>
                <w:rFonts w:ascii="Times New Roman" w:hAnsi="Times New Roman"/>
                <w:color w:val="000000"/>
              </w:rPr>
              <w:t>Jednocześnie podkreślić należy, że biorąc pod uwagę szybki rozwój tej części sektora przemysłowego, związane z tym upowszechnienie przedmiotowych rozwiązań (co łączyć należy z obniżeniem cen tychże rozwiązań) oraz obecne koszty budowy nowych budynków (oraz eksploatacji obecnych) wprowadzenie przedmiotowych regulacji nie będzie stanowić nadmiernego obciążenia finansowego dla inwestorów i użytkowników budynków.</w:t>
            </w:r>
          </w:p>
        </w:tc>
      </w:tr>
      <w:tr w:rsidR="002E5FFA" w:rsidRPr="0050413F" w14:paraId="3C4C4D23" w14:textId="77777777" w:rsidTr="00676C8D">
        <w:trPr>
          <w:gridAfter w:val="1"/>
          <w:wAfter w:w="10" w:type="dxa"/>
          <w:trHeight w:val="342"/>
        </w:trPr>
        <w:tc>
          <w:tcPr>
            <w:tcW w:w="10937" w:type="dxa"/>
            <w:gridSpan w:val="29"/>
            <w:shd w:val="clear" w:color="auto" w:fill="99CCFF"/>
            <w:vAlign w:val="center"/>
          </w:tcPr>
          <w:p w14:paraId="4FF9C6CC" w14:textId="77777777" w:rsidR="002E5FFA" w:rsidRPr="0050413F" w:rsidRDefault="002E5FFA" w:rsidP="0050413F">
            <w:pPr>
              <w:numPr>
                <w:ilvl w:val="0"/>
                <w:numId w:val="3"/>
              </w:numPr>
              <w:spacing w:line="240" w:lineRule="auto"/>
              <w:ind w:left="318" w:hanging="284"/>
              <w:jc w:val="both"/>
              <w:rPr>
                <w:rFonts w:ascii="Times New Roman" w:hAnsi="Times New Roman"/>
                <w:b/>
                <w:color w:val="000000"/>
              </w:rPr>
            </w:pPr>
            <w:r w:rsidRPr="0050413F">
              <w:rPr>
                <w:rFonts w:ascii="Times New Roman" w:hAnsi="Times New Roman"/>
                <w:b/>
                <w:color w:val="000000"/>
              </w:rPr>
              <w:lastRenderedPageBreak/>
              <w:t xml:space="preserve"> Zmiana obciążeń regulacyjnych (w tym obowiązków informacyjnych) wynikających z projektu</w:t>
            </w:r>
          </w:p>
        </w:tc>
      </w:tr>
      <w:tr w:rsidR="002E5FFA" w:rsidRPr="0050413F" w14:paraId="3E73D85D" w14:textId="77777777" w:rsidTr="00676C8D">
        <w:trPr>
          <w:gridAfter w:val="1"/>
          <w:wAfter w:w="10" w:type="dxa"/>
          <w:trHeight w:val="151"/>
        </w:trPr>
        <w:tc>
          <w:tcPr>
            <w:tcW w:w="10937" w:type="dxa"/>
            <w:gridSpan w:val="29"/>
            <w:shd w:val="clear" w:color="auto" w:fill="FFFFFF"/>
          </w:tcPr>
          <w:p w14:paraId="56380710"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1159E9">
              <w:rPr>
                <w:rFonts w:ascii="Times New Roman" w:hAnsi="Times New Roman"/>
                <w:color w:val="000000"/>
              </w:rPr>
            </w:r>
            <w:r w:rsidR="001159E9">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nie dotyczy</w:t>
            </w:r>
          </w:p>
        </w:tc>
      </w:tr>
      <w:tr w:rsidR="002E5FFA" w:rsidRPr="0050413F" w14:paraId="1CFD097E" w14:textId="77777777" w:rsidTr="00676C8D">
        <w:trPr>
          <w:gridAfter w:val="1"/>
          <w:wAfter w:w="10" w:type="dxa"/>
          <w:trHeight w:val="946"/>
        </w:trPr>
        <w:tc>
          <w:tcPr>
            <w:tcW w:w="5111" w:type="dxa"/>
            <w:gridSpan w:val="12"/>
            <w:shd w:val="clear" w:color="auto" w:fill="FFFFFF"/>
          </w:tcPr>
          <w:p w14:paraId="7D4042AB"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spacing w:val="-2"/>
              </w:rPr>
              <w:t xml:space="preserve">Wprowadzane są obciążenia </w:t>
            </w:r>
            <w:r w:rsidR="00AA2242" w:rsidRPr="0050413F">
              <w:rPr>
                <w:rFonts w:ascii="Times New Roman" w:hAnsi="Times New Roman"/>
                <w:color w:val="000000"/>
                <w:spacing w:val="-2"/>
              </w:rPr>
              <w:t>wykraczające ponad</w:t>
            </w:r>
            <w:r w:rsidRPr="0050413F">
              <w:rPr>
                <w:rFonts w:ascii="Times New Roman" w:hAnsi="Times New Roman"/>
                <w:color w:val="000000"/>
                <w:spacing w:val="-2"/>
              </w:rPr>
              <w:t xml:space="preserve"> </w:t>
            </w:r>
            <w:r w:rsidR="00AA2242" w:rsidRPr="0050413F">
              <w:rPr>
                <w:rFonts w:ascii="Times New Roman" w:hAnsi="Times New Roman"/>
                <w:color w:val="000000"/>
                <w:spacing w:val="-2"/>
              </w:rPr>
              <w:t xml:space="preserve">wymagane </w:t>
            </w:r>
            <w:r w:rsidRPr="0050413F">
              <w:rPr>
                <w:rFonts w:ascii="Times New Roman" w:hAnsi="Times New Roman"/>
                <w:color w:val="000000"/>
                <w:spacing w:val="-2"/>
              </w:rPr>
              <w:t xml:space="preserve">przez UE </w:t>
            </w:r>
            <w:r w:rsidRPr="0050413F">
              <w:rPr>
                <w:rFonts w:ascii="Times New Roman" w:hAnsi="Times New Roman"/>
                <w:color w:val="000000"/>
              </w:rPr>
              <w:t>(szczegóły w odwróconej tabeli zgodności).</w:t>
            </w:r>
          </w:p>
        </w:tc>
        <w:tc>
          <w:tcPr>
            <w:tcW w:w="5826" w:type="dxa"/>
            <w:gridSpan w:val="17"/>
            <w:shd w:val="clear" w:color="auto" w:fill="FFFFFF"/>
          </w:tcPr>
          <w:p w14:paraId="254AA6FD"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1159E9">
              <w:rPr>
                <w:rFonts w:ascii="Times New Roman" w:hAnsi="Times New Roman"/>
                <w:color w:val="000000"/>
              </w:rPr>
            </w:r>
            <w:r w:rsidR="001159E9">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tak</w:t>
            </w:r>
          </w:p>
          <w:p w14:paraId="3BF4FDF8"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X nie</w:t>
            </w:r>
          </w:p>
          <w:p w14:paraId="40BFE690"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1159E9">
              <w:rPr>
                <w:rFonts w:ascii="Times New Roman" w:hAnsi="Times New Roman"/>
                <w:color w:val="000000"/>
              </w:rPr>
            </w:r>
            <w:r w:rsidR="001159E9">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nie dotyczy</w:t>
            </w:r>
          </w:p>
        </w:tc>
      </w:tr>
      <w:tr w:rsidR="002E5FFA" w:rsidRPr="0050413F" w14:paraId="02CC3984" w14:textId="77777777" w:rsidTr="00676C8D">
        <w:trPr>
          <w:gridAfter w:val="1"/>
          <w:wAfter w:w="10" w:type="dxa"/>
          <w:trHeight w:val="1245"/>
        </w:trPr>
        <w:tc>
          <w:tcPr>
            <w:tcW w:w="5111" w:type="dxa"/>
            <w:gridSpan w:val="12"/>
            <w:shd w:val="clear" w:color="auto" w:fill="FFFFFF"/>
          </w:tcPr>
          <w:p w14:paraId="3261DED2"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1159E9">
              <w:rPr>
                <w:rFonts w:ascii="Times New Roman" w:hAnsi="Times New Roman"/>
                <w:color w:val="000000"/>
              </w:rPr>
            </w:r>
            <w:r w:rsidR="001159E9">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 xml:space="preserve">zmniejszenie liczby dokumentów </w:t>
            </w:r>
          </w:p>
          <w:p w14:paraId="6FADF308"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1159E9">
              <w:rPr>
                <w:rFonts w:ascii="Times New Roman" w:hAnsi="Times New Roman"/>
                <w:color w:val="000000"/>
              </w:rPr>
            </w:r>
            <w:r w:rsidR="001159E9">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zmniejszenie liczby procedur</w:t>
            </w:r>
          </w:p>
          <w:p w14:paraId="7F516473"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rPr>
              <w:fldChar w:fldCharType="begin">
                <w:ffData>
                  <w:name w:val=""/>
                  <w:enabled/>
                  <w:calcOnExit w:val="0"/>
                  <w:checkBox>
                    <w:sizeAuto/>
                    <w:default w:val="0"/>
                  </w:checkBox>
                </w:ffData>
              </w:fldChar>
            </w:r>
            <w:r w:rsidRPr="0050413F">
              <w:rPr>
                <w:rFonts w:ascii="Times New Roman" w:hAnsi="Times New Roman"/>
                <w:color w:val="000000"/>
              </w:rPr>
              <w:instrText xml:space="preserve"> FORMCHECKBOX </w:instrText>
            </w:r>
            <w:r w:rsidR="001159E9">
              <w:rPr>
                <w:rFonts w:ascii="Times New Roman" w:hAnsi="Times New Roman"/>
                <w:color w:val="000000"/>
              </w:rPr>
            </w:r>
            <w:r w:rsidR="001159E9">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skrócenie czasu na załatwienie sprawy</w:t>
            </w:r>
          </w:p>
          <w:p w14:paraId="70879B5E" w14:textId="77777777" w:rsidR="002E5FFA" w:rsidRPr="0050413F" w:rsidRDefault="002E5FFA" w:rsidP="0050413F">
            <w:pPr>
              <w:spacing w:line="240" w:lineRule="auto"/>
              <w:rPr>
                <w:rFonts w:ascii="Times New Roman" w:hAnsi="Times New Roman"/>
                <w:b/>
                <w:color w:val="000000"/>
                <w:spacing w:val="-2"/>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1159E9">
              <w:rPr>
                <w:rFonts w:ascii="Times New Roman" w:hAnsi="Times New Roman"/>
                <w:color w:val="000000"/>
              </w:rPr>
            </w:r>
            <w:r w:rsidR="001159E9">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inne:</w:t>
            </w:r>
            <w:r w:rsidRPr="0050413F">
              <w:rPr>
                <w:rFonts w:ascii="Times New Roman" w:hAnsi="Times New Roman"/>
                <w:color w:val="000000"/>
              </w:rPr>
              <w:t xml:space="preserve"> </w:t>
            </w:r>
            <w:r w:rsidRPr="0050413F">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50413F">
              <w:rPr>
                <w:rFonts w:ascii="Times New Roman" w:hAnsi="Times New Roman"/>
                <w:color w:val="000000"/>
              </w:rPr>
              <w:instrText xml:space="preserve"> FORMTEXT </w:instrText>
            </w:r>
            <w:r w:rsidRPr="0050413F">
              <w:rPr>
                <w:rFonts w:ascii="Times New Roman" w:hAnsi="Times New Roman"/>
                <w:color w:val="000000"/>
              </w:rPr>
            </w:r>
            <w:r w:rsidRPr="0050413F">
              <w:rPr>
                <w:rFonts w:ascii="Times New Roman" w:hAnsi="Times New Roman"/>
                <w:color w:val="000000"/>
              </w:rPr>
              <w:fldChar w:fldCharType="separate"/>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color w:val="000000"/>
              </w:rPr>
              <w:fldChar w:fldCharType="end"/>
            </w:r>
          </w:p>
        </w:tc>
        <w:tc>
          <w:tcPr>
            <w:tcW w:w="5826" w:type="dxa"/>
            <w:gridSpan w:val="17"/>
            <w:shd w:val="clear" w:color="auto" w:fill="FFFFFF"/>
          </w:tcPr>
          <w:p w14:paraId="1D604E46" w14:textId="7F493669" w:rsidR="002E5FFA" w:rsidRPr="0050413F" w:rsidRDefault="00647D76" w:rsidP="0050413F">
            <w:pPr>
              <w:spacing w:line="240" w:lineRule="auto"/>
              <w:rPr>
                <w:rFonts w:ascii="Times New Roman" w:hAnsi="Times New Roman"/>
                <w:color w:val="000000"/>
                <w:spacing w:val="-2"/>
              </w:rPr>
            </w:pPr>
            <w:r w:rsidRPr="0050413F">
              <w:rPr>
                <w:rFonts w:ascii="Times New Roman" w:hAnsi="Times New Roman"/>
                <w:color w:val="000000"/>
              </w:rPr>
              <w:t>X</w:t>
            </w:r>
            <w:r w:rsidR="002E5FFA" w:rsidRPr="0050413F">
              <w:rPr>
                <w:rFonts w:ascii="Times New Roman" w:hAnsi="Times New Roman"/>
                <w:color w:val="000000"/>
              </w:rPr>
              <w:t xml:space="preserve"> </w:t>
            </w:r>
            <w:r w:rsidR="002E5FFA" w:rsidRPr="0050413F">
              <w:rPr>
                <w:rFonts w:ascii="Times New Roman" w:hAnsi="Times New Roman"/>
                <w:color w:val="000000"/>
                <w:spacing w:val="-2"/>
              </w:rPr>
              <w:t>zwiększenie liczby dokumentów</w:t>
            </w:r>
          </w:p>
          <w:p w14:paraId="12A7A747" w14:textId="36B95E2B" w:rsidR="002E5FFA" w:rsidRPr="0050413F" w:rsidRDefault="00647D76" w:rsidP="0050413F">
            <w:pPr>
              <w:spacing w:line="240" w:lineRule="auto"/>
              <w:rPr>
                <w:rFonts w:ascii="Times New Roman" w:hAnsi="Times New Roman"/>
                <w:color w:val="000000"/>
                <w:spacing w:val="-2"/>
              </w:rPr>
            </w:pPr>
            <w:r w:rsidRPr="0050413F">
              <w:rPr>
                <w:rFonts w:ascii="Times New Roman" w:hAnsi="Times New Roman"/>
                <w:color w:val="000000"/>
              </w:rPr>
              <w:t>X</w:t>
            </w:r>
            <w:r w:rsidR="002E5FFA" w:rsidRPr="0050413F">
              <w:rPr>
                <w:rFonts w:ascii="Times New Roman" w:hAnsi="Times New Roman"/>
                <w:color w:val="000000"/>
              </w:rPr>
              <w:t xml:space="preserve"> </w:t>
            </w:r>
            <w:r w:rsidR="002E5FFA" w:rsidRPr="0050413F">
              <w:rPr>
                <w:rFonts w:ascii="Times New Roman" w:hAnsi="Times New Roman"/>
                <w:color w:val="000000"/>
                <w:spacing w:val="-2"/>
              </w:rPr>
              <w:t>zwiększenie liczby procedur</w:t>
            </w:r>
          </w:p>
          <w:p w14:paraId="44C90C16"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1159E9">
              <w:rPr>
                <w:rFonts w:ascii="Times New Roman" w:hAnsi="Times New Roman"/>
                <w:color w:val="000000"/>
              </w:rPr>
            </w:r>
            <w:r w:rsidR="001159E9">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wydłużenie czasu na załatwienie sprawy</w:t>
            </w:r>
          </w:p>
          <w:p w14:paraId="6FE171CB"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1159E9">
              <w:rPr>
                <w:rFonts w:ascii="Times New Roman" w:hAnsi="Times New Roman"/>
                <w:color w:val="000000"/>
              </w:rPr>
            </w:r>
            <w:r w:rsidR="001159E9">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inne:</w:t>
            </w:r>
            <w:r w:rsidRPr="0050413F">
              <w:rPr>
                <w:rFonts w:ascii="Times New Roman" w:hAnsi="Times New Roman"/>
                <w:color w:val="000000"/>
              </w:rPr>
              <w:t xml:space="preserve"> </w:t>
            </w:r>
            <w:r w:rsidRPr="0050413F">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50413F">
              <w:rPr>
                <w:rFonts w:ascii="Times New Roman" w:hAnsi="Times New Roman"/>
                <w:color w:val="000000"/>
              </w:rPr>
              <w:instrText xml:space="preserve"> FORMTEXT </w:instrText>
            </w:r>
            <w:r w:rsidRPr="0050413F">
              <w:rPr>
                <w:rFonts w:ascii="Times New Roman" w:hAnsi="Times New Roman"/>
                <w:color w:val="000000"/>
              </w:rPr>
            </w:r>
            <w:r w:rsidRPr="0050413F">
              <w:rPr>
                <w:rFonts w:ascii="Times New Roman" w:hAnsi="Times New Roman"/>
                <w:color w:val="000000"/>
              </w:rPr>
              <w:fldChar w:fldCharType="separate"/>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color w:val="000000"/>
              </w:rPr>
              <w:fldChar w:fldCharType="end"/>
            </w:r>
          </w:p>
          <w:p w14:paraId="36D775BA" w14:textId="77777777" w:rsidR="002E5FFA" w:rsidRPr="0050413F" w:rsidRDefault="002E5FFA" w:rsidP="0050413F">
            <w:pPr>
              <w:spacing w:line="240" w:lineRule="auto"/>
              <w:rPr>
                <w:rFonts w:ascii="Times New Roman" w:hAnsi="Times New Roman"/>
                <w:color w:val="000000"/>
              </w:rPr>
            </w:pPr>
          </w:p>
        </w:tc>
      </w:tr>
      <w:tr w:rsidR="002E5FFA" w:rsidRPr="0050413F" w14:paraId="155238E6" w14:textId="77777777" w:rsidTr="00676C8D">
        <w:trPr>
          <w:gridAfter w:val="1"/>
          <w:wAfter w:w="10" w:type="dxa"/>
          <w:trHeight w:val="870"/>
        </w:trPr>
        <w:tc>
          <w:tcPr>
            <w:tcW w:w="5111" w:type="dxa"/>
            <w:gridSpan w:val="12"/>
            <w:shd w:val="clear" w:color="auto" w:fill="FFFFFF"/>
          </w:tcPr>
          <w:p w14:paraId="6FC7215E"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spacing w:val="-2"/>
              </w:rPr>
              <w:t xml:space="preserve">Wprowadzane obciążenia są przystosowane do ich elektronizacji. </w:t>
            </w:r>
          </w:p>
        </w:tc>
        <w:tc>
          <w:tcPr>
            <w:tcW w:w="5826" w:type="dxa"/>
            <w:gridSpan w:val="17"/>
            <w:shd w:val="clear" w:color="auto" w:fill="FFFFFF"/>
          </w:tcPr>
          <w:p w14:paraId="4557F7A1"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1159E9">
              <w:rPr>
                <w:rFonts w:ascii="Times New Roman" w:hAnsi="Times New Roman"/>
                <w:color w:val="000000"/>
              </w:rPr>
            </w:r>
            <w:r w:rsidR="001159E9">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tak</w:t>
            </w:r>
          </w:p>
          <w:p w14:paraId="5AC3BC38"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1159E9">
              <w:rPr>
                <w:rFonts w:ascii="Times New Roman" w:hAnsi="Times New Roman"/>
                <w:color w:val="000000"/>
              </w:rPr>
            </w:r>
            <w:r w:rsidR="001159E9">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nie</w:t>
            </w:r>
          </w:p>
          <w:p w14:paraId="22189D4B"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1159E9">
              <w:rPr>
                <w:rFonts w:ascii="Times New Roman" w:hAnsi="Times New Roman"/>
                <w:color w:val="000000"/>
              </w:rPr>
            </w:r>
            <w:r w:rsidR="001159E9">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nie dotyczy</w:t>
            </w:r>
          </w:p>
          <w:p w14:paraId="2556FDC5" w14:textId="77777777" w:rsidR="002E5FFA" w:rsidRPr="0050413F" w:rsidRDefault="002E5FFA" w:rsidP="0050413F">
            <w:pPr>
              <w:spacing w:line="240" w:lineRule="auto"/>
              <w:rPr>
                <w:rFonts w:ascii="Times New Roman" w:hAnsi="Times New Roman"/>
                <w:color w:val="000000"/>
              </w:rPr>
            </w:pPr>
          </w:p>
        </w:tc>
      </w:tr>
      <w:tr w:rsidR="002E5FFA" w:rsidRPr="0050413F" w14:paraId="3FED5F4C" w14:textId="77777777" w:rsidTr="00676C8D">
        <w:trPr>
          <w:gridAfter w:val="1"/>
          <w:wAfter w:w="10" w:type="dxa"/>
          <w:trHeight w:val="630"/>
        </w:trPr>
        <w:tc>
          <w:tcPr>
            <w:tcW w:w="10937" w:type="dxa"/>
            <w:gridSpan w:val="29"/>
            <w:shd w:val="clear" w:color="auto" w:fill="FFFFFF"/>
          </w:tcPr>
          <w:p w14:paraId="358C8F2A" w14:textId="77777777" w:rsidR="00DE0A70" w:rsidRPr="0050413F" w:rsidRDefault="00033D31" w:rsidP="0050413F">
            <w:pPr>
              <w:spacing w:line="240" w:lineRule="auto"/>
              <w:jc w:val="both"/>
              <w:rPr>
                <w:rFonts w:ascii="Times New Roman" w:hAnsi="Times New Roman"/>
                <w:color w:val="000000"/>
              </w:rPr>
            </w:pPr>
            <w:r w:rsidRPr="0050413F">
              <w:rPr>
                <w:rFonts w:ascii="Times New Roman" w:hAnsi="Times New Roman"/>
                <w:color w:val="000000"/>
              </w:rPr>
              <w:t xml:space="preserve">1. </w:t>
            </w:r>
            <w:r w:rsidR="00DE0A70" w:rsidRPr="0050413F">
              <w:rPr>
                <w:rFonts w:ascii="Times New Roman" w:hAnsi="Times New Roman"/>
                <w:color w:val="000000"/>
              </w:rPr>
              <w:t>Obowiązek informacyjny na temat udziału ekologicznie czystych pojazdów w zamówieniach publicznych.</w:t>
            </w:r>
          </w:p>
          <w:p w14:paraId="6C5D0BA8" w14:textId="77777777" w:rsidR="002E5FFA" w:rsidRPr="0050413F" w:rsidRDefault="002E5FFA" w:rsidP="0050413F">
            <w:pPr>
              <w:spacing w:line="240" w:lineRule="auto"/>
              <w:jc w:val="both"/>
              <w:rPr>
                <w:rFonts w:ascii="Times New Roman" w:hAnsi="Times New Roman"/>
                <w:color w:val="000000"/>
              </w:rPr>
            </w:pPr>
            <w:r w:rsidRPr="0050413F">
              <w:rPr>
                <w:rFonts w:ascii="Times New Roman" w:hAnsi="Times New Roman"/>
                <w:color w:val="000000"/>
              </w:rPr>
              <w:t xml:space="preserve">Projektowany akt prawny </w:t>
            </w:r>
            <w:r w:rsidR="008230D8" w:rsidRPr="0050413F">
              <w:rPr>
                <w:rFonts w:ascii="Times New Roman" w:hAnsi="Times New Roman"/>
                <w:color w:val="000000"/>
              </w:rPr>
              <w:t xml:space="preserve">zgodnie z przepisami dyrektywy 2019/1161/UE </w:t>
            </w:r>
            <w:r w:rsidRPr="0050413F">
              <w:rPr>
                <w:rFonts w:ascii="Times New Roman" w:hAnsi="Times New Roman"/>
                <w:color w:val="000000"/>
              </w:rPr>
              <w:t>przewiduje nałożenie na zamawiających obowiązku przekazywania informacji na temat uzyskania minimalnych poziomów docelowych udziału ekologicznie czystych i zeroemisyjnych pojazdów transportu drogowego w całkowitej liczbie pojazdów objętych zamówieniami</w:t>
            </w:r>
            <w:r w:rsidR="001A45EE" w:rsidRPr="0050413F">
              <w:rPr>
                <w:rFonts w:ascii="Times New Roman" w:hAnsi="Times New Roman"/>
                <w:color w:val="000000"/>
              </w:rPr>
              <w:t xml:space="preserve"> publicznymi o których mowa w </w:t>
            </w:r>
            <w:r w:rsidR="00AA2242" w:rsidRPr="0050413F">
              <w:rPr>
                <w:rFonts w:ascii="Times New Roman" w:hAnsi="Times New Roman"/>
                <w:color w:val="000000"/>
              </w:rPr>
              <w:t xml:space="preserve">dodawanym do ustawy z dnia 11 stycznia 2018 r. o elektromobilności i paliwach alternatywnych </w:t>
            </w:r>
            <w:r w:rsidR="001A45EE" w:rsidRPr="0050413F">
              <w:rPr>
                <w:rFonts w:ascii="Times New Roman" w:hAnsi="Times New Roman"/>
                <w:color w:val="000000"/>
              </w:rPr>
              <w:t xml:space="preserve">art. </w:t>
            </w:r>
            <w:r w:rsidR="00AA2242" w:rsidRPr="0050413F">
              <w:rPr>
                <w:rFonts w:ascii="Times New Roman" w:hAnsi="Times New Roman"/>
                <w:color w:val="000000"/>
              </w:rPr>
              <w:t>68b</w:t>
            </w:r>
            <w:r w:rsidR="001A45EE" w:rsidRPr="0050413F">
              <w:rPr>
                <w:rFonts w:ascii="Times New Roman" w:hAnsi="Times New Roman"/>
                <w:color w:val="000000"/>
              </w:rPr>
              <w:t xml:space="preserve">, w tym o pojazdach elektrycznych, napędzanych wodorem oraz napędzanych innymi paliwami alternatywnymi. Informacje te powinny być przekazywane przez zamawiających do 31 stycznia każdego roku ministrowi właściwemu do spraw transport. </w:t>
            </w:r>
          </w:p>
          <w:p w14:paraId="48951E39" w14:textId="1C1E3171" w:rsidR="00033D31" w:rsidRPr="0050413F" w:rsidRDefault="00033D31" w:rsidP="0050413F">
            <w:pPr>
              <w:spacing w:line="240" w:lineRule="auto"/>
              <w:jc w:val="both"/>
              <w:rPr>
                <w:rFonts w:ascii="Times New Roman" w:hAnsi="Times New Roman"/>
                <w:color w:val="000000"/>
              </w:rPr>
            </w:pPr>
            <w:r w:rsidRPr="0050413F">
              <w:rPr>
                <w:rFonts w:ascii="Times New Roman" w:hAnsi="Times New Roman"/>
                <w:color w:val="000000"/>
              </w:rPr>
              <w:t xml:space="preserve">2. </w:t>
            </w:r>
            <w:r w:rsidR="00DE0A70" w:rsidRPr="0050413F">
              <w:rPr>
                <w:rFonts w:ascii="Times New Roman" w:hAnsi="Times New Roman"/>
                <w:color w:val="000000"/>
              </w:rPr>
              <w:t>W</w:t>
            </w:r>
            <w:r w:rsidRPr="0050413F">
              <w:rPr>
                <w:rFonts w:ascii="Times New Roman" w:hAnsi="Times New Roman"/>
                <w:color w:val="000000"/>
              </w:rPr>
              <w:t>niosek o instalacj</w:t>
            </w:r>
            <w:r w:rsidR="005704FE">
              <w:rPr>
                <w:rFonts w:ascii="Times New Roman" w:hAnsi="Times New Roman"/>
                <w:color w:val="000000"/>
              </w:rPr>
              <w:t>ę</w:t>
            </w:r>
            <w:r w:rsidRPr="0050413F">
              <w:rPr>
                <w:rFonts w:ascii="Times New Roman" w:hAnsi="Times New Roman"/>
                <w:color w:val="000000"/>
              </w:rPr>
              <w:t xml:space="preserve"> punktu </w:t>
            </w:r>
            <w:r w:rsidR="00BB3769" w:rsidRPr="0050413F">
              <w:rPr>
                <w:rFonts w:ascii="Times New Roman" w:hAnsi="Times New Roman"/>
                <w:color w:val="000000"/>
              </w:rPr>
              <w:t>ładowania</w:t>
            </w:r>
            <w:r w:rsidRPr="0050413F">
              <w:rPr>
                <w:rFonts w:ascii="Times New Roman" w:hAnsi="Times New Roman"/>
                <w:color w:val="000000"/>
              </w:rPr>
              <w:t xml:space="preserve"> </w:t>
            </w:r>
            <w:r w:rsidR="00DE0A70" w:rsidRPr="0050413F">
              <w:rPr>
                <w:rFonts w:ascii="Times New Roman" w:hAnsi="Times New Roman"/>
                <w:color w:val="000000"/>
              </w:rPr>
              <w:t xml:space="preserve">w budynku </w:t>
            </w:r>
            <w:r w:rsidRPr="0050413F">
              <w:rPr>
                <w:rFonts w:ascii="Times New Roman" w:hAnsi="Times New Roman"/>
                <w:color w:val="000000"/>
              </w:rPr>
              <w:t>i konsultacje z konserwatorem zabytków</w:t>
            </w:r>
            <w:r w:rsidR="00DE0A70" w:rsidRPr="0050413F">
              <w:rPr>
                <w:rFonts w:ascii="Times New Roman" w:hAnsi="Times New Roman"/>
                <w:color w:val="000000"/>
              </w:rPr>
              <w:t>.</w:t>
            </w:r>
            <w:r w:rsidRPr="0050413F">
              <w:rPr>
                <w:rFonts w:ascii="Times New Roman" w:hAnsi="Times New Roman"/>
                <w:color w:val="000000"/>
              </w:rPr>
              <w:t xml:space="preserve"> </w:t>
            </w:r>
          </w:p>
          <w:p w14:paraId="1BB543A8" w14:textId="77777777" w:rsidR="00DE0A70" w:rsidRPr="0050413F" w:rsidRDefault="00933A3A" w:rsidP="0050413F">
            <w:pPr>
              <w:spacing w:line="240" w:lineRule="auto"/>
              <w:jc w:val="both"/>
              <w:rPr>
                <w:rFonts w:ascii="Times New Roman" w:hAnsi="Times New Roman"/>
                <w:color w:val="000000"/>
              </w:rPr>
            </w:pPr>
            <w:r w:rsidRPr="0050413F">
              <w:rPr>
                <w:rFonts w:ascii="Times New Roman" w:hAnsi="Times New Roman"/>
                <w:color w:val="000000"/>
              </w:rPr>
              <w:t>Wprowadzenie wniosku o instalację punktu ładowania składanego do zarządcy nieruchomości. W przypadku budynków posiadających status zabytku konsultacja możliwości montażu z właściwym konserwatorem zabytków.</w:t>
            </w:r>
          </w:p>
          <w:p w14:paraId="13F13A6F" w14:textId="77777777" w:rsidR="00933A3A" w:rsidRPr="0050413F" w:rsidRDefault="00033D31" w:rsidP="0050413F">
            <w:pPr>
              <w:spacing w:line="240" w:lineRule="auto"/>
              <w:jc w:val="both"/>
              <w:rPr>
                <w:rFonts w:ascii="Times New Roman" w:hAnsi="Times New Roman"/>
                <w:color w:val="000000"/>
              </w:rPr>
            </w:pPr>
            <w:r w:rsidRPr="0050413F">
              <w:rPr>
                <w:rFonts w:ascii="Times New Roman" w:hAnsi="Times New Roman"/>
                <w:color w:val="000000"/>
              </w:rPr>
              <w:t xml:space="preserve">3. </w:t>
            </w:r>
            <w:r w:rsidR="00933A3A" w:rsidRPr="0050413F">
              <w:rPr>
                <w:rFonts w:ascii="Times New Roman" w:hAnsi="Times New Roman"/>
                <w:color w:val="000000"/>
              </w:rPr>
              <w:t>O</w:t>
            </w:r>
            <w:r w:rsidRPr="0050413F">
              <w:rPr>
                <w:rFonts w:ascii="Times New Roman" w:hAnsi="Times New Roman"/>
                <w:color w:val="000000"/>
              </w:rPr>
              <w:t xml:space="preserve">bowiązek </w:t>
            </w:r>
            <w:r w:rsidR="00933A3A" w:rsidRPr="0050413F">
              <w:rPr>
                <w:rFonts w:ascii="Times New Roman" w:hAnsi="Times New Roman"/>
                <w:color w:val="000000"/>
              </w:rPr>
              <w:t>oznaczania</w:t>
            </w:r>
            <w:r w:rsidRPr="0050413F">
              <w:rPr>
                <w:rFonts w:ascii="Times New Roman" w:hAnsi="Times New Roman"/>
                <w:color w:val="000000"/>
              </w:rPr>
              <w:t xml:space="preserve"> pojazdów uprawnionych do wjazdu  </w:t>
            </w:r>
            <w:r w:rsidR="00933A3A" w:rsidRPr="0050413F">
              <w:rPr>
                <w:rFonts w:ascii="Times New Roman" w:hAnsi="Times New Roman"/>
                <w:color w:val="000000"/>
              </w:rPr>
              <w:t>na obszar strefy czystego transportu.</w:t>
            </w:r>
          </w:p>
          <w:p w14:paraId="285B62DB" w14:textId="77777777" w:rsidR="00033D31" w:rsidRPr="0050413F" w:rsidRDefault="00933A3A" w:rsidP="0050413F">
            <w:pPr>
              <w:spacing w:line="240" w:lineRule="auto"/>
              <w:jc w:val="both"/>
              <w:rPr>
                <w:rFonts w:ascii="Times New Roman" w:hAnsi="Times New Roman"/>
                <w:color w:val="000000"/>
              </w:rPr>
            </w:pPr>
            <w:r w:rsidRPr="0050413F">
              <w:rPr>
                <w:rFonts w:ascii="Times New Roman" w:hAnsi="Times New Roman"/>
                <w:color w:val="000000"/>
              </w:rPr>
              <w:t>Wprowadzenie systemu identyfikacji wizualnej, pozwalającego określić czy dany pojazd ma prawo wjazdu do wyznaczonej strefy czystego transportu.</w:t>
            </w:r>
            <w:r w:rsidR="00033D31" w:rsidRPr="0050413F">
              <w:rPr>
                <w:rFonts w:ascii="Times New Roman" w:hAnsi="Times New Roman"/>
                <w:color w:val="000000"/>
              </w:rPr>
              <w:t xml:space="preserve"> </w:t>
            </w:r>
            <w:r w:rsidRPr="0050413F">
              <w:rPr>
                <w:rFonts w:ascii="Times New Roman" w:hAnsi="Times New Roman"/>
                <w:color w:val="000000"/>
              </w:rPr>
              <w:t xml:space="preserve"> </w:t>
            </w:r>
          </w:p>
          <w:p w14:paraId="5958BD38" w14:textId="4D5B8747" w:rsidR="00033D31" w:rsidRPr="0050413F" w:rsidRDefault="005704FE" w:rsidP="0050413F">
            <w:pPr>
              <w:spacing w:line="240" w:lineRule="auto"/>
              <w:jc w:val="both"/>
              <w:rPr>
                <w:rFonts w:ascii="Times New Roman" w:hAnsi="Times New Roman"/>
                <w:color w:val="000000"/>
              </w:rPr>
            </w:pPr>
            <w:r>
              <w:rPr>
                <w:rFonts w:ascii="Times New Roman" w:hAnsi="Times New Roman"/>
                <w:color w:val="000000"/>
              </w:rPr>
              <w:t>4</w:t>
            </w:r>
            <w:r w:rsidR="00033D31" w:rsidRPr="0050413F">
              <w:rPr>
                <w:rFonts w:ascii="Times New Roman" w:hAnsi="Times New Roman"/>
                <w:color w:val="000000"/>
              </w:rPr>
              <w:t xml:space="preserve">. </w:t>
            </w:r>
            <w:r w:rsidR="00D94E5B" w:rsidRPr="0050413F">
              <w:rPr>
                <w:rFonts w:ascii="Times New Roman" w:hAnsi="Times New Roman"/>
                <w:color w:val="000000"/>
              </w:rPr>
              <w:t>Rozszerzenie zakresu k</w:t>
            </w:r>
            <w:r w:rsidR="00033D31" w:rsidRPr="0050413F">
              <w:rPr>
                <w:rFonts w:ascii="Times New Roman" w:hAnsi="Times New Roman"/>
                <w:color w:val="000000"/>
              </w:rPr>
              <w:t>ontrol</w:t>
            </w:r>
            <w:r w:rsidR="00D94E5B" w:rsidRPr="0050413F">
              <w:rPr>
                <w:rFonts w:ascii="Times New Roman" w:hAnsi="Times New Roman"/>
                <w:color w:val="000000"/>
              </w:rPr>
              <w:t>i</w:t>
            </w:r>
            <w:r w:rsidR="00033D31" w:rsidRPr="0050413F">
              <w:rPr>
                <w:rFonts w:ascii="Times New Roman" w:hAnsi="Times New Roman"/>
                <w:color w:val="000000"/>
              </w:rPr>
              <w:t xml:space="preserve"> </w:t>
            </w:r>
            <w:r w:rsidR="00D94E5B" w:rsidRPr="0050413F">
              <w:rPr>
                <w:rFonts w:ascii="Times New Roman" w:hAnsi="Times New Roman"/>
                <w:color w:val="000000"/>
              </w:rPr>
              <w:t xml:space="preserve">przeprowadzanych przez </w:t>
            </w:r>
            <w:r w:rsidR="00033D31" w:rsidRPr="0050413F">
              <w:rPr>
                <w:rFonts w:ascii="Times New Roman" w:hAnsi="Times New Roman"/>
                <w:color w:val="000000"/>
              </w:rPr>
              <w:t>UDT</w:t>
            </w:r>
            <w:r w:rsidR="003D3277">
              <w:rPr>
                <w:rFonts w:ascii="Times New Roman" w:hAnsi="Times New Roman"/>
                <w:color w:val="000000"/>
              </w:rPr>
              <w:t xml:space="preserve"> i TDT</w:t>
            </w:r>
            <w:r w:rsidR="00D94E5B" w:rsidRPr="0050413F">
              <w:rPr>
                <w:rFonts w:ascii="Times New Roman" w:hAnsi="Times New Roman"/>
                <w:color w:val="000000"/>
              </w:rPr>
              <w:t>.</w:t>
            </w:r>
          </w:p>
          <w:p w14:paraId="3C6001B5" w14:textId="5C4F1232" w:rsidR="00647D76" w:rsidRPr="0050413F" w:rsidRDefault="00AB57EF" w:rsidP="0050413F">
            <w:pPr>
              <w:spacing w:line="240" w:lineRule="auto"/>
              <w:jc w:val="both"/>
              <w:rPr>
                <w:rFonts w:ascii="Times New Roman" w:hAnsi="Times New Roman"/>
                <w:color w:val="000000"/>
              </w:rPr>
            </w:pPr>
            <w:r w:rsidRPr="0050413F">
              <w:rPr>
                <w:rFonts w:ascii="Times New Roman" w:hAnsi="Times New Roman"/>
                <w:color w:val="000000"/>
              </w:rPr>
              <w:t>UDT</w:t>
            </w:r>
            <w:r w:rsidR="003D3277">
              <w:rPr>
                <w:rFonts w:ascii="Times New Roman" w:hAnsi="Times New Roman"/>
                <w:color w:val="000000"/>
              </w:rPr>
              <w:t xml:space="preserve"> oraz TDT</w:t>
            </w:r>
            <w:r w:rsidRPr="0050413F">
              <w:rPr>
                <w:rFonts w:ascii="Times New Roman" w:hAnsi="Times New Roman"/>
                <w:color w:val="000000"/>
              </w:rPr>
              <w:t xml:space="preserve"> będzie mógł przeprowadzać </w:t>
            </w:r>
            <w:r w:rsidR="005704FE" w:rsidRPr="0050413F">
              <w:rPr>
                <w:rFonts w:ascii="Times New Roman" w:hAnsi="Times New Roman"/>
                <w:color w:val="000000"/>
              </w:rPr>
              <w:t>kontrol</w:t>
            </w:r>
            <w:r w:rsidR="005704FE">
              <w:rPr>
                <w:rFonts w:ascii="Times New Roman" w:hAnsi="Times New Roman"/>
                <w:color w:val="000000"/>
              </w:rPr>
              <w:t>e</w:t>
            </w:r>
            <w:r w:rsidR="005704FE" w:rsidRPr="0050413F">
              <w:rPr>
                <w:rFonts w:ascii="Times New Roman" w:hAnsi="Times New Roman"/>
                <w:color w:val="000000"/>
              </w:rPr>
              <w:t xml:space="preserve"> doraźn</w:t>
            </w:r>
            <w:r w:rsidR="005704FE">
              <w:rPr>
                <w:rFonts w:ascii="Times New Roman" w:hAnsi="Times New Roman"/>
                <w:color w:val="000000"/>
              </w:rPr>
              <w:t>e</w:t>
            </w:r>
            <w:r w:rsidR="005704FE" w:rsidRPr="0050413F">
              <w:rPr>
                <w:rFonts w:ascii="Times New Roman" w:hAnsi="Times New Roman"/>
                <w:color w:val="000000"/>
              </w:rPr>
              <w:t xml:space="preserve"> </w:t>
            </w:r>
            <w:r w:rsidRPr="0050413F">
              <w:rPr>
                <w:rFonts w:ascii="Times New Roman" w:hAnsi="Times New Roman"/>
                <w:color w:val="000000"/>
              </w:rPr>
              <w:t>w przypadku podejrzenia wystąpienia zagrożenia dla bezpieczeństwa użytkowników, z uwagi na awarie lub uszkodzenia powstałe w trakcie eksploatacji stacji oraz punktów ładowania.</w:t>
            </w:r>
          </w:p>
          <w:p w14:paraId="4A2E59F7" w14:textId="6079F748" w:rsidR="00E70304" w:rsidRPr="0050413F" w:rsidRDefault="005704FE" w:rsidP="0050413F">
            <w:pPr>
              <w:spacing w:line="240" w:lineRule="auto"/>
              <w:jc w:val="both"/>
              <w:rPr>
                <w:rFonts w:ascii="Times New Roman" w:hAnsi="Times New Roman"/>
                <w:color w:val="000000"/>
              </w:rPr>
            </w:pPr>
            <w:r>
              <w:rPr>
                <w:rFonts w:ascii="Times New Roman" w:hAnsi="Times New Roman"/>
                <w:color w:val="000000"/>
              </w:rPr>
              <w:t>5</w:t>
            </w:r>
            <w:r w:rsidR="00E70304" w:rsidRPr="0050413F">
              <w:rPr>
                <w:rFonts w:ascii="Times New Roman" w:hAnsi="Times New Roman"/>
                <w:color w:val="000000"/>
              </w:rPr>
              <w:t>.</w:t>
            </w:r>
            <w:r w:rsidR="00E70304" w:rsidRPr="0050413F">
              <w:rPr>
                <w:rFonts w:ascii="Times New Roman" w:hAnsi="Times New Roman"/>
              </w:rPr>
              <w:t xml:space="preserve"> </w:t>
            </w:r>
            <w:r w:rsidR="00E70304" w:rsidRPr="0050413F">
              <w:rPr>
                <w:rFonts w:ascii="Times New Roman" w:hAnsi="Times New Roman"/>
                <w:color w:val="000000"/>
              </w:rPr>
              <w:t>Obowiązek zgłaszania stacji ładowania i zasilania pojazdów w paliwa alternatywne do rejestru EIPA .</w:t>
            </w:r>
          </w:p>
          <w:p w14:paraId="6F3E3112" w14:textId="77777777" w:rsidR="00033D31" w:rsidRPr="0050413F" w:rsidRDefault="00E70304" w:rsidP="0050413F">
            <w:pPr>
              <w:spacing w:line="240" w:lineRule="auto"/>
              <w:jc w:val="both"/>
              <w:rPr>
                <w:rFonts w:ascii="Times New Roman" w:hAnsi="Times New Roman"/>
                <w:color w:val="000000"/>
              </w:rPr>
            </w:pPr>
            <w:r w:rsidRPr="0050413F">
              <w:rPr>
                <w:rFonts w:ascii="Times New Roman" w:hAnsi="Times New Roman"/>
                <w:color w:val="000000"/>
              </w:rPr>
              <w:t>Nałożenie obowiązku wydawania indywidualnych kodów identyfikacyjnych oraz wprowadzenie odpłatności za wydawanie tych kodów.</w:t>
            </w:r>
          </w:p>
        </w:tc>
      </w:tr>
      <w:tr w:rsidR="002E5FFA" w:rsidRPr="0050413F" w14:paraId="5E4BC423" w14:textId="77777777" w:rsidTr="00676C8D">
        <w:trPr>
          <w:gridAfter w:val="1"/>
          <w:wAfter w:w="10" w:type="dxa"/>
          <w:trHeight w:val="142"/>
        </w:trPr>
        <w:tc>
          <w:tcPr>
            <w:tcW w:w="10937" w:type="dxa"/>
            <w:gridSpan w:val="29"/>
            <w:shd w:val="clear" w:color="auto" w:fill="99CCFF"/>
          </w:tcPr>
          <w:p w14:paraId="106DC5D9" w14:textId="77777777" w:rsidR="002E5FFA" w:rsidRPr="0050413F" w:rsidRDefault="002E5FFA" w:rsidP="0050413F">
            <w:pPr>
              <w:numPr>
                <w:ilvl w:val="0"/>
                <w:numId w:val="3"/>
              </w:numPr>
              <w:spacing w:line="240" w:lineRule="auto"/>
              <w:jc w:val="both"/>
              <w:rPr>
                <w:rFonts w:ascii="Times New Roman" w:hAnsi="Times New Roman"/>
                <w:b/>
                <w:color w:val="000000"/>
              </w:rPr>
            </w:pPr>
            <w:r w:rsidRPr="0050413F">
              <w:rPr>
                <w:rFonts w:ascii="Times New Roman" w:hAnsi="Times New Roman"/>
                <w:b/>
                <w:color w:val="000000"/>
              </w:rPr>
              <w:t xml:space="preserve">Wpływ na rynek pracy </w:t>
            </w:r>
          </w:p>
        </w:tc>
      </w:tr>
      <w:tr w:rsidR="002E5FFA" w:rsidRPr="0050413F" w14:paraId="1F794428" w14:textId="77777777" w:rsidTr="00676C8D">
        <w:trPr>
          <w:gridAfter w:val="1"/>
          <w:wAfter w:w="10" w:type="dxa"/>
          <w:trHeight w:val="142"/>
        </w:trPr>
        <w:tc>
          <w:tcPr>
            <w:tcW w:w="10937" w:type="dxa"/>
            <w:gridSpan w:val="29"/>
            <w:shd w:val="clear" w:color="auto" w:fill="auto"/>
          </w:tcPr>
          <w:p w14:paraId="56EB6472" w14:textId="47CED163" w:rsidR="002E5FFA" w:rsidRPr="0050413F" w:rsidRDefault="002E5FFA" w:rsidP="0050413F">
            <w:pPr>
              <w:spacing w:line="240" w:lineRule="auto"/>
              <w:jc w:val="both"/>
              <w:rPr>
                <w:rFonts w:ascii="Times New Roman" w:hAnsi="Times New Roman"/>
                <w:color w:val="000000"/>
              </w:rPr>
            </w:pPr>
            <w:r w:rsidRPr="0050413F">
              <w:rPr>
                <w:rFonts w:ascii="Times New Roman" w:hAnsi="Times New Roman"/>
                <w:color w:val="000000"/>
              </w:rPr>
              <w:t>W związku ze skalą przemysłu motoryzacyjnego w Polsce przewiduje się pozytywny wpływ na rynek pracy związany z rozwojem segmentu produkcji motoryzacyjnej, sektora energetycznego oraz branż powiązanych (teleinformatyka i telekomunikacja, produkcja akumulatorów i magazynów energii).</w:t>
            </w:r>
            <w:r w:rsidR="00436BE3" w:rsidRPr="0050413F">
              <w:rPr>
                <w:rFonts w:ascii="Times New Roman" w:hAnsi="Times New Roman"/>
                <w:color w:val="000000"/>
              </w:rPr>
              <w:t xml:space="preserve"> </w:t>
            </w:r>
            <w:r w:rsidRPr="0050413F">
              <w:rPr>
                <w:rFonts w:ascii="Times New Roman" w:hAnsi="Times New Roman"/>
                <w:color w:val="000000"/>
              </w:rPr>
              <w:t xml:space="preserve">Zwiększenie popularności pojazdów niskoemisyjnych przyczyni się do wzrostu zatrudnienia w punktach ich sprzedaży oraz powstania nowych punktów ich obsługi. </w:t>
            </w:r>
          </w:p>
        </w:tc>
      </w:tr>
      <w:tr w:rsidR="002E5FFA" w:rsidRPr="0050413F" w14:paraId="307D4E99" w14:textId="77777777" w:rsidTr="00676C8D">
        <w:trPr>
          <w:gridAfter w:val="1"/>
          <w:wAfter w:w="10" w:type="dxa"/>
          <w:trHeight w:val="142"/>
        </w:trPr>
        <w:tc>
          <w:tcPr>
            <w:tcW w:w="10937" w:type="dxa"/>
            <w:gridSpan w:val="29"/>
            <w:shd w:val="clear" w:color="auto" w:fill="99CCFF"/>
          </w:tcPr>
          <w:p w14:paraId="0A3864BD" w14:textId="77777777" w:rsidR="002E5FFA" w:rsidRPr="0050413F" w:rsidRDefault="002E5FFA" w:rsidP="0050413F">
            <w:pPr>
              <w:numPr>
                <w:ilvl w:val="0"/>
                <w:numId w:val="3"/>
              </w:numPr>
              <w:spacing w:line="240" w:lineRule="auto"/>
              <w:jc w:val="both"/>
              <w:rPr>
                <w:rFonts w:ascii="Times New Roman" w:hAnsi="Times New Roman"/>
                <w:b/>
                <w:color w:val="000000"/>
              </w:rPr>
            </w:pPr>
            <w:r w:rsidRPr="0050413F">
              <w:rPr>
                <w:rFonts w:ascii="Times New Roman" w:hAnsi="Times New Roman"/>
                <w:b/>
                <w:color w:val="000000"/>
              </w:rPr>
              <w:t>Wpływ na pozostałe obszary</w:t>
            </w:r>
          </w:p>
        </w:tc>
      </w:tr>
      <w:tr w:rsidR="002E5FFA" w:rsidRPr="0050413F" w14:paraId="414C7908" w14:textId="77777777" w:rsidTr="00676C8D">
        <w:trPr>
          <w:gridAfter w:val="1"/>
          <w:wAfter w:w="10" w:type="dxa"/>
          <w:trHeight w:val="1031"/>
        </w:trPr>
        <w:tc>
          <w:tcPr>
            <w:tcW w:w="3547" w:type="dxa"/>
            <w:gridSpan w:val="5"/>
            <w:shd w:val="clear" w:color="auto" w:fill="FFFFFF"/>
          </w:tcPr>
          <w:p w14:paraId="523D164D" w14:textId="77777777" w:rsidR="002E5FFA" w:rsidRPr="0050413F" w:rsidRDefault="002E5FFA" w:rsidP="0050413F">
            <w:pPr>
              <w:spacing w:line="240" w:lineRule="auto"/>
              <w:rPr>
                <w:rFonts w:ascii="Times New Roman" w:hAnsi="Times New Roman"/>
                <w:color w:val="000000"/>
              </w:rPr>
            </w:pPr>
          </w:p>
          <w:p w14:paraId="0C8D7632"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1159E9">
              <w:rPr>
                <w:rFonts w:ascii="Times New Roman" w:hAnsi="Times New Roman"/>
                <w:color w:val="000000"/>
              </w:rPr>
            </w:r>
            <w:r w:rsidR="001159E9">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środowisko naturalne</w:t>
            </w:r>
          </w:p>
          <w:p w14:paraId="29FC170F"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
                  <w:enabled/>
                  <w:calcOnExit w:val="0"/>
                  <w:checkBox>
                    <w:sizeAuto/>
                    <w:default w:val="0"/>
                  </w:checkBox>
                </w:ffData>
              </w:fldChar>
            </w:r>
            <w:r w:rsidRPr="0050413F">
              <w:rPr>
                <w:rFonts w:ascii="Times New Roman" w:hAnsi="Times New Roman"/>
                <w:color w:val="000000"/>
              </w:rPr>
              <w:instrText xml:space="preserve"> FORMCHECKBOX </w:instrText>
            </w:r>
            <w:r w:rsidR="001159E9">
              <w:rPr>
                <w:rFonts w:ascii="Times New Roman" w:hAnsi="Times New Roman"/>
                <w:color w:val="000000"/>
              </w:rPr>
            </w:r>
            <w:r w:rsidR="001159E9">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sytuacja i rozwój regionalny</w:t>
            </w:r>
          </w:p>
          <w:p w14:paraId="470D6B72"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1159E9">
              <w:rPr>
                <w:rFonts w:ascii="Times New Roman" w:hAnsi="Times New Roman"/>
                <w:color w:val="000000"/>
              </w:rPr>
            </w:r>
            <w:r w:rsidR="001159E9">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 xml:space="preserve">inne: </w:t>
            </w:r>
            <w:r w:rsidRPr="0050413F">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50413F">
              <w:rPr>
                <w:rFonts w:ascii="Times New Roman" w:hAnsi="Times New Roman"/>
                <w:color w:val="000000"/>
              </w:rPr>
              <w:instrText xml:space="preserve"> FORMTEXT </w:instrText>
            </w:r>
            <w:r w:rsidRPr="0050413F">
              <w:rPr>
                <w:rFonts w:ascii="Times New Roman" w:hAnsi="Times New Roman"/>
                <w:color w:val="000000"/>
              </w:rPr>
            </w:r>
            <w:r w:rsidRPr="0050413F">
              <w:rPr>
                <w:rFonts w:ascii="Times New Roman" w:hAnsi="Times New Roman"/>
                <w:color w:val="000000"/>
              </w:rPr>
              <w:fldChar w:fldCharType="separate"/>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color w:val="000000"/>
              </w:rPr>
              <w:fldChar w:fldCharType="end"/>
            </w:r>
          </w:p>
        </w:tc>
        <w:tc>
          <w:tcPr>
            <w:tcW w:w="3687" w:type="dxa"/>
            <w:gridSpan w:val="16"/>
            <w:shd w:val="clear" w:color="auto" w:fill="FFFFFF"/>
          </w:tcPr>
          <w:p w14:paraId="68DFDBD0" w14:textId="77777777" w:rsidR="002E5FFA" w:rsidRPr="0050413F" w:rsidRDefault="002E5FFA" w:rsidP="0050413F">
            <w:pPr>
              <w:spacing w:line="240" w:lineRule="auto"/>
              <w:rPr>
                <w:rFonts w:ascii="Times New Roman" w:hAnsi="Times New Roman"/>
                <w:color w:val="000000"/>
              </w:rPr>
            </w:pPr>
          </w:p>
          <w:p w14:paraId="6F00ADE0"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1159E9">
              <w:rPr>
                <w:rFonts w:ascii="Times New Roman" w:hAnsi="Times New Roman"/>
                <w:color w:val="000000"/>
              </w:rPr>
            </w:r>
            <w:r w:rsidR="001159E9">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demografia</w:t>
            </w:r>
          </w:p>
          <w:p w14:paraId="081B591F"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
                  <w:enabled/>
                  <w:calcOnExit w:val="0"/>
                  <w:checkBox>
                    <w:sizeAuto/>
                    <w:default w:val="0"/>
                  </w:checkBox>
                </w:ffData>
              </w:fldChar>
            </w:r>
            <w:r w:rsidRPr="0050413F">
              <w:rPr>
                <w:rFonts w:ascii="Times New Roman" w:hAnsi="Times New Roman"/>
                <w:color w:val="000000"/>
              </w:rPr>
              <w:instrText xml:space="preserve"> FORMCHECKBOX </w:instrText>
            </w:r>
            <w:r w:rsidR="001159E9">
              <w:rPr>
                <w:rFonts w:ascii="Times New Roman" w:hAnsi="Times New Roman"/>
                <w:color w:val="000000"/>
              </w:rPr>
            </w:r>
            <w:r w:rsidR="001159E9">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mienie państwowe</w:t>
            </w:r>
          </w:p>
        </w:tc>
        <w:tc>
          <w:tcPr>
            <w:tcW w:w="3703" w:type="dxa"/>
            <w:gridSpan w:val="8"/>
            <w:shd w:val="clear" w:color="auto" w:fill="FFFFFF"/>
          </w:tcPr>
          <w:p w14:paraId="1C36BFB9" w14:textId="77777777" w:rsidR="002E5FFA" w:rsidRPr="0050413F" w:rsidRDefault="002E5FFA" w:rsidP="0050413F">
            <w:pPr>
              <w:spacing w:line="240" w:lineRule="auto"/>
              <w:rPr>
                <w:rFonts w:ascii="Times New Roman" w:hAnsi="Times New Roman"/>
                <w:color w:val="000000"/>
              </w:rPr>
            </w:pPr>
          </w:p>
          <w:p w14:paraId="7B65DE4A"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1159E9">
              <w:rPr>
                <w:rFonts w:ascii="Times New Roman" w:hAnsi="Times New Roman"/>
                <w:color w:val="000000"/>
              </w:rPr>
            </w:r>
            <w:r w:rsidR="001159E9">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informatyzacja</w:t>
            </w:r>
          </w:p>
          <w:p w14:paraId="0E0DC508"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1159E9">
              <w:rPr>
                <w:rFonts w:ascii="Times New Roman" w:hAnsi="Times New Roman"/>
                <w:color w:val="000000"/>
              </w:rPr>
            </w:r>
            <w:r w:rsidR="001159E9">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zdrowie</w:t>
            </w:r>
          </w:p>
        </w:tc>
      </w:tr>
      <w:tr w:rsidR="002E5FFA" w:rsidRPr="0050413F" w14:paraId="12DCB5D4" w14:textId="77777777" w:rsidTr="00676C8D">
        <w:trPr>
          <w:gridAfter w:val="1"/>
          <w:wAfter w:w="10" w:type="dxa"/>
          <w:trHeight w:val="712"/>
        </w:trPr>
        <w:tc>
          <w:tcPr>
            <w:tcW w:w="2243" w:type="dxa"/>
            <w:gridSpan w:val="2"/>
            <w:shd w:val="clear" w:color="auto" w:fill="FFFFFF"/>
            <w:vAlign w:val="center"/>
          </w:tcPr>
          <w:p w14:paraId="2DCBF96E"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Omówienie wpływu</w:t>
            </w:r>
          </w:p>
        </w:tc>
        <w:tc>
          <w:tcPr>
            <w:tcW w:w="8694" w:type="dxa"/>
            <w:gridSpan w:val="27"/>
            <w:shd w:val="clear" w:color="auto" w:fill="FFFFFF"/>
            <w:vAlign w:val="center"/>
          </w:tcPr>
          <w:p w14:paraId="052CBC6B" w14:textId="77777777" w:rsidR="002E5FFA" w:rsidRPr="0050413F" w:rsidRDefault="002E5FFA"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Zwiększenie udziału ekologicznie czystych i zeroemisyjnych pojazdów spowoduje spadek emisji szkodliwych pyłów i substancji pochodzących z sektora transportu, co w efekcie może rozwiązać problem związany z zanieczyszczonym powietrzem w miastach i na obszarach gęsto zaludnionych.</w:t>
            </w:r>
          </w:p>
          <w:p w14:paraId="204504FA" w14:textId="77777777" w:rsidR="002E5FFA" w:rsidRPr="0050413F" w:rsidRDefault="002E5FFA" w:rsidP="0050413F">
            <w:pPr>
              <w:spacing w:line="240" w:lineRule="auto"/>
              <w:jc w:val="both"/>
              <w:rPr>
                <w:rFonts w:ascii="Times New Roman" w:hAnsi="Times New Roman"/>
                <w:color w:val="000000"/>
                <w:spacing w:val="-2"/>
              </w:rPr>
            </w:pPr>
          </w:p>
        </w:tc>
      </w:tr>
      <w:tr w:rsidR="002E5FFA" w:rsidRPr="0050413F" w14:paraId="5EFCD436" w14:textId="77777777" w:rsidTr="00676C8D">
        <w:trPr>
          <w:gridAfter w:val="1"/>
          <w:wAfter w:w="10" w:type="dxa"/>
          <w:trHeight w:val="142"/>
        </w:trPr>
        <w:tc>
          <w:tcPr>
            <w:tcW w:w="10937" w:type="dxa"/>
            <w:gridSpan w:val="29"/>
            <w:shd w:val="clear" w:color="auto" w:fill="99CCFF"/>
          </w:tcPr>
          <w:p w14:paraId="383832AC" w14:textId="77777777" w:rsidR="002E5FFA" w:rsidRPr="0050413F" w:rsidRDefault="002E5FFA" w:rsidP="0050413F">
            <w:pPr>
              <w:numPr>
                <w:ilvl w:val="0"/>
                <w:numId w:val="3"/>
              </w:numPr>
              <w:spacing w:line="240" w:lineRule="auto"/>
              <w:ind w:left="318" w:hanging="284"/>
              <w:jc w:val="both"/>
              <w:rPr>
                <w:rFonts w:ascii="Times New Roman" w:hAnsi="Times New Roman"/>
                <w:b/>
              </w:rPr>
            </w:pPr>
            <w:r w:rsidRPr="0050413F">
              <w:rPr>
                <w:rFonts w:ascii="Times New Roman" w:hAnsi="Times New Roman"/>
                <w:b/>
                <w:spacing w:val="-2"/>
              </w:rPr>
              <w:t>Planowane wykonanie przepisów aktu prawnego</w:t>
            </w:r>
          </w:p>
        </w:tc>
      </w:tr>
      <w:tr w:rsidR="002E5FFA" w:rsidRPr="0050413F" w14:paraId="4FB18D10" w14:textId="77777777" w:rsidTr="00676C8D">
        <w:trPr>
          <w:gridAfter w:val="1"/>
          <w:wAfter w:w="10" w:type="dxa"/>
          <w:trHeight w:val="142"/>
        </w:trPr>
        <w:tc>
          <w:tcPr>
            <w:tcW w:w="10937" w:type="dxa"/>
            <w:gridSpan w:val="29"/>
            <w:shd w:val="clear" w:color="auto" w:fill="FFFFFF"/>
          </w:tcPr>
          <w:p w14:paraId="64F22056" w14:textId="77777777" w:rsidR="005704FE" w:rsidRPr="00DD75C8" w:rsidRDefault="00CE2EF2" w:rsidP="00DD75C8">
            <w:pPr>
              <w:pStyle w:val="ARTartustawynprozporzdzenia"/>
              <w:spacing w:before="0" w:line="240" w:lineRule="auto"/>
              <w:ind w:firstLine="40"/>
              <w:rPr>
                <w:rFonts w:ascii="Times New Roman" w:hAnsi="Times New Roman"/>
                <w:sz w:val="22"/>
                <w:szCs w:val="22"/>
              </w:rPr>
            </w:pPr>
            <w:r w:rsidRPr="00DD75C8">
              <w:rPr>
                <w:rFonts w:ascii="Times New Roman" w:hAnsi="Times New Roman"/>
                <w:sz w:val="22"/>
                <w:szCs w:val="22"/>
              </w:rPr>
              <w:lastRenderedPageBreak/>
              <w:t xml:space="preserve">Proponuje się, aby przepisy weszły w życie po upływie 14 dni od ogłoszenia, </w:t>
            </w:r>
            <w:r w:rsidR="005704FE" w:rsidRPr="00DD75C8">
              <w:rPr>
                <w:rFonts w:ascii="Times New Roman" w:hAnsi="Times New Roman"/>
                <w:sz w:val="22"/>
                <w:szCs w:val="22"/>
              </w:rPr>
              <w:t>z wyjątkiem:</w:t>
            </w:r>
          </w:p>
          <w:p w14:paraId="44A38B3E" w14:textId="77777777" w:rsidR="005704FE" w:rsidRPr="00DD75C8" w:rsidRDefault="005704FE" w:rsidP="00DD75C8">
            <w:pPr>
              <w:pStyle w:val="ARTartustawynprozporzdzenia"/>
              <w:spacing w:before="0" w:line="240" w:lineRule="auto"/>
              <w:ind w:firstLine="40"/>
              <w:rPr>
                <w:rFonts w:ascii="Times New Roman" w:hAnsi="Times New Roman"/>
                <w:sz w:val="22"/>
                <w:szCs w:val="22"/>
              </w:rPr>
            </w:pPr>
            <w:r w:rsidRPr="00DD75C8">
              <w:rPr>
                <w:rFonts w:ascii="Times New Roman" w:hAnsi="Times New Roman"/>
                <w:sz w:val="22"/>
                <w:szCs w:val="22"/>
              </w:rPr>
              <w:t>a) art. 1 pkt 21 i 22, które wchodzą w życie z dniem 1 stycznia 2025 r.;</w:t>
            </w:r>
          </w:p>
          <w:p w14:paraId="2A169381" w14:textId="166DDECB" w:rsidR="005704FE" w:rsidRPr="00DD75C8" w:rsidRDefault="005704FE" w:rsidP="00DD75C8">
            <w:pPr>
              <w:pStyle w:val="ARTartustawynprozporzdzenia"/>
              <w:spacing w:before="0" w:line="240" w:lineRule="auto"/>
              <w:ind w:firstLine="40"/>
              <w:rPr>
                <w:rFonts w:ascii="Times New Roman" w:hAnsi="Times New Roman"/>
                <w:bCs/>
                <w:sz w:val="22"/>
                <w:szCs w:val="22"/>
              </w:rPr>
            </w:pPr>
            <w:r w:rsidRPr="00DD75C8">
              <w:rPr>
                <w:rFonts w:ascii="Times New Roman" w:hAnsi="Times New Roman"/>
                <w:bCs/>
                <w:sz w:val="22"/>
                <w:szCs w:val="22"/>
              </w:rPr>
              <w:t>b) art. 1 pkt 23, który wchodzi w życie z dniem 1 stycznia 2028 r.;</w:t>
            </w:r>
          </w:p>
          <w:p w14:paraId="0EB84EBE" w14:textId="126FF9B4" w:rsidR="002E5FFA" w:rsidRPr="0050413F" w:rsidRDefault="005704FE" w:rsidP="00DD75C8">
            <w:pPr>
              <w:pStyle w:val="ARTartustawynprozporzdzenia"/>
              <w:spacing w:before="0" w:line="240" w:lineRule="auto"/>
              <w:ind w:firstLine="40"/>
              <w:rPr>
                <w:rFonts w:ascii="Times New Roman" w:hAnsi="Times New Roman" w:cs="Times New Roman"/>
                <w:sz w:val="22"/>
                <w:szCs w:val="22"/>
              </w:rPr>
            </w:pPr>
            <w:r w:rsidRPr="00DD75C8">
              <w:rPr>
                <w:rFonts w:ascii="Times New Roman" w:hAnsi="Times New Roman"/>
                <w:bCs/>
                <w:sz w:val="22"/>
                <w:szCs w:val="22"/>
              </w:rPr>
              <w:t>c) art. 3 pkt 2 i art. 4 pkt 2, które wchodzą w życie z dniem 1 stycznia 2026 r.</w:t>
            </w:r>
          </w:p>
        </w:tc>
      </w:tr>
      <w:tr w:rsidR="002E5FFA" w:rsidRPr="0050413F" w14:paraId="0FD4D5F6" w14:textId="77777777" w:rsidTr="00676C8D">
        <w:trPr>
          <w:gridAfter w:val="1"/>
          <w:wAfter w:w="10" w:type="dxa"/>
          <w:trHeight w:val="142"/>
        </w:trPr>
        <w:tc>
          <w:tcPr>
            <w:tcW w:w="10937" w:type="dxa"/>
            <w:gridSpan w:val="29"/>
            <w:shd w:val="clear" w:color="auto" w:fill="99CCFF"/>
          </w:tcPr>
          <w:p w14:paraId="697D87EF" w14:textId="77777777" w:rsidR="002E5FFA" w:rsidRPr="0050413F" w:rsidRDefault="002E5FFA" w:rsidP="0050413F">
            <w:pPr>
              <w:numPr>
                <w:ilvl w:val="0"/>
                <w:numId w:val="3"/>
              </w:numPr>
              <w:spacing w:line="240" w:lineRule="auto"/>
              <w:ind w:left="318" w:hanging="284"/>
              <w:jc w:val="both"/>
              <w:rPr>
                <w:rFonts w:ascii="Times New Roman" w:hAnsi="Times New Roman"/>
                <w:b/>
                <w:color w:val="000000"/>
              </w:rPr>
            </w:pPr>
            <w:r w:rsidRPr="0050413F">
              <w:rPr>
                <w:rFonts w:ascii="Times New Roman" w:hAnsi="Times New Roman"/>
                <w:b/>
                <w:color w:val="000000"/>
              </w:rPr>
              <w:t xml:space="preserve"> </w:t>
            </w:r>
            <w:r w:rsidRPr="0050413F">
              <w:rPr>
                <w:rFonts w:ascii="Times New Roman" w:hAnsi="Times New Roman"/>
                <w:b/>
                <w:spacing w:val="-2"/>
              </w:rPr>
              <w:t>W jaki sposób i kiedy nastąpi ewaluacja efektów projektu oraz jakie mierniki zostaną zastosowane?</w:t>
            </w:r>
          </w:p>
        </w:tc>
      </w:tr>
      <w:tr w:rsidR="002E5FFA" w:rsidRPr="0050413F" w14:paraId="451E9C86" w14:textId="77777777" w:rsidTr="00676C8D">
        <w:trPr>
          <w:gridAfter w:val="1"/>
          <w:wAfter w:w="10" w:type="dxa"/>
          <w:trHeight w:val="142"/>
        </w:trPr>
        <w:tc>
          <w:tcPr>
            <w:tcW w:w="10937" w:type="dxa"/>
            <w:gridSpan w:val="29"/>
            <w:shd w:val="clear" w:color="auto" w:fill="FFFFFF"/>
          </w:tcPr>
          <w:p w14:paraId="13DA9F51" w14:textId="110E7A92" w:rsidR="002E5FFA" w:rsidRPr="0050413F" w:rsidRDefault="002E5FFA"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Projektowany akt prawny zakłada, że minister właściwy do spraw transportu dokonuje co roku oceny poziomu osiągnięcia celów projektowanej ustawy. Na podstawie tej oceny sporządza</w:t>
            </w:r>
            <w:r w:rsidR="008C0A9A" w:rsidRPr="0050413F">
              <w:rPr>
                <w:rFonts w:ascii="Times New Roman" w:hAnsi="Times New Roman"/>
                <w:color w:val="000000"/>
                <w:spacing w:val="-2"/>
              </w:rPr>
              <w:t>,</w:t>
            </w:r>
            <w:r w:rsidRPr="0050413F">
              <w:rPr>
                <w:rFonts w:ascii="Times New Roman" w:hAnsi="Times New Roman"/>
                <w:color w:val="000000"/>
                <w:spacing w:val="-2"/>
              </w:rPr>
              <w:t xml:space="preserve"> co 3 lata</w:t>
            </w:r>
            <w:r w:rsidR="008C0A9A" w:rsidRPr="0050413F">
              <w:rPr>
                <w:rFonts w:ascii="Times New Roman" w:hAnsi="Times New Roman"/>
                <w:color w:val="000000"/>
                <w:spacing w:val="-2"/>
              </w:rPr>
              <w:t>,</w:t>
            </w:r>
            <w:r w:rsidRPr="0050413F">
              <w:rPr>
                <w:rFonts w:ascii="Times New Roman" w:hAnsi="Times New Roman"/>
                <w:color w:val="000000"/>
                <w:spacing w:val="-2"/>
              </w:rPr>
              <w:t xml:space="preserve"> sprawozdanie, które przekazuje Komisji Europejskiej (zgodnie z przepisami dyrektywy 2019/1161/UE).</w:t>
            </w:r>
          </w:p>
        </w:tc>
      </w:tr>
      <w:tr w:rsidR="002E5FFA" w:rsidRPr="0050413F" w14:paraId="1C74686C" w14:textId="77777777" w:rsidTr="00676C8D">
        <w:trPr>
          <w:gridAfter w:val="1"/>
          <w:wAfter w:w="10" w:type="dxa"/>
          <w:trHeight w:val="142"/>
        </w:trPr>
        <w:tc>
          <w:tcPr>
            <w:tcW w:w="10937" w:type="dxa"/>
            <w:gridSpan w:val="29"/>
            <w:shd w:val="clear" w:color="auto" w:fill="99CCFF"/>
          </w:tcPr>
          <w:p w14:paraId="4267A010" w14:textId="77777777" w:rsidR="002E5FFA" w:rsidRPr="0050413F" w:rsidRDefault="002E5FFA" w:rsidP="0050413F">
            <w:pPr>
              <w:numPr>
                <w:ilvl w:val="0"/>
                <w:numId w:val="3"/>
              </w:numPr>
              <w:spacing w:line="240" w:lineRule="auto"/>
              <w:ind w:left="318" w:hanging="284"/>
              <w:jc w:val="both"/>
              <w:rPr>
                <w:rFonts w:ascii="Times New Roman" w:hAnsi="Times New Roman"/>
                <w:b/>
                <w:color w:val="000000"/>
                <w:spacing w:val="-2"/>
              </w:rPr>
            </w:pPr>
            <w:r w:rsidRPr="0050413F">
              <w:rPr>
                <w:rFonts w:ascii="Times New Roman" w:hAnsi="Times New Roman"/>
                <w:b/>
                <w:color w:val="000000"/>
                <w:spacing w:val="-2"/>
              </w:rPr>
              <w:t xml:space="preserve">Załączniki </w:t>
            </w:r>
            <w:r w:rsidRPr="0050413F">
              <w:rPr>
                <w:rFonts w:ascii="Times New Roman" w:hAnsi="Times New Roman"/>
                <w:b/>
                <w:spacing w:val="-2"/>
              </w:rPr>
              <w:t>(istotne dokumenty źródłowe, badania, analizy itp.</w:t>
            </w:r>
            <w:r w:rsidRPr="0050413F">
              <w:rPr>
                <w:rFonts w:ascii="Times New Roman" w:hAnsi="Times New Roman"/>
                <w:b/>
                <w:color w:val="000000"/>
                <w:spacing w:val="-2"/>
              </w:rPr>
              <w:t xml:space="preserve">) </w:t>
            </w:r>
          </w:p>
        </w:tc>
      </w:tr>
      <w:tr w:rsidR="002E5FFA" w:rsidRPr="0050413F" w14:paraId="25B50536" w14:textId="77777777" w:rsidTr="00676C8D">
        <w:trPr>
          <w:gridAfter w:val="1"/>
          <w:wAfter w:w="10" w:type="dxa"/>
          <w:trHeight w:val="142"/>
        </w:trPr>
        <w:tc>
          <w:tcPr>
            <w:tcW w:w="10937" w:type="dxa"/>
            <w:gridSpan w:val="29"/>
            <w:shd w:val="clear" w:color="auto" w:fill="FFFFFF"/>
          </w:tcPr>
          <w:p w14:paraId="7BB33995" w14:textId="7380F4F9" w:rsidR="002E5FFA" w:rsidRPr="0050413F" w:rsidRDefault="00647D76"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 xml:space="preserve">Załączniki dotyczące wykonanych obliczeń w zakresie skutków dla sektora finansów. </w:t>
            </w:r>
          </w:p>
        </w:tc>
      </w:tr>
    </w:tbl>
    <w:p w14:paraId="2C95BAAA" w14:textId="77777777" w:rsidR="006176ED" w:rsidRPr="0050413F" w:rsidRDefault="006176ED" w:rsidP="0050413F">
      <w:pPr>
        <w:spacing w:line="240" w:lineRule="auto"/>
        <w:ind w:left="360"/>
        <w:jc w:val="both"/>
        <w:rPr>
          <w:rFonts w:ascii="Times New Roman" w:hAnsi="Times New Roman"/>
        </w:rPr>
      </w:pPr>
    </w:p>
    <w:sectPr w:rsidR="006176ED" w:rsidRPr="0050413F" w:rsidSect="00725DE7">
      <w:headerReference w:type="default" r:id="rId9"/>
      <w:footerReference w:type="default" r:id="rId10"/>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1BD47" w14:textId="77777777" w:rsidR="001159E9" w:rsidRDefault="001159E9" w:rsidP="00044739">
      <w:pPr>
        <w:spacing w:line="240" w:lineRule="auto"/>
      </w:pPr>
      <w:r>
        <w:separator/>
      </w:r>
    </w:p>
  </w:endnote>
  <w:endnote w:type="continuationSeparator" w:id="0">
    <w:p w14:paraId="0139B2BE" w14:textId="77777777" w:rsidR="001159E9" w:rsidRDefault="001159E9" w:rsidP="00044739">
      <w:pPr>
        <w:spacing w:line="240" w:lineRule="auto"/>
      </w:pPr>
      <w:r>
        <w:continuationSeparator/>
      </w:r>
    </w:p>
  </w:endnote>
  <w:endnote w:type="continuationNotice" w:id="1">
    <w:p w14:paraId="6FC17BC9" w14:textId="77777777" w:rsidR="001159E9" w:rsidRDefault="001159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03432" w14:textId="77777777" w:rsidR="00DC5129" w:rsidRDefault="00DC51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5AD40" w14:textId="77777777" w:rsidR="001159E9" w:rsidRDefault="001159E9" w:rsidP="00044739">
      <w:pPr>
        <w:spacing w:line="240" w:lineRule="auto"/>
      </w:pPr>
      <w:r>
        <w:separator/>
      </w:r>
    </w:p>
  </w:footnote>
  <w:footnote w:type="continuationSeparator" w:id="0">
    <w:p w14:paraId="78CC3DFD" w14:textId="77777777" w:rsidR="001159E9" w:rsidRDefault="001159E9" w:rsidP="00044739">
      <w:pPr>
        <w:spacing w:line="240" w:lineRule="auto"/>
      </w:pPr>
      <w:r>
        <w:continuationSeparator/>
      </w:r>
    </w:p>
  </w:footnote>
  <w:footnote w:type="continuationNotice" w:id="1">
    <w:p w14:paraId="309706F0" w14:textId="77777777" w:rsidR="001159E9" w:rsidRDefault="001159E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450C0" w14:textId="77777777" w:rsidR="00DC5129" w:rsidRDefault="00DC51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A300D1"/>
    <w:multiLevelType w:val="hybridMultilevel"/>
    <w:tmpl w:val="6F6AD63A"/>
    <w:lvl w:ilvl="0" w:tplc="D43A42A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12196E2F"/>
    <w:multiLevelType w:val="hybridMultilevel"/>
    <w:tmpl w:val="A8BCD5B0"/>
    <w:lvl w:ilvl="0" w:tplc="52D66E3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5" w15:restartNumberingAfterBreak="0">
    <w:nsid w:val="1BB822B8"/>
    <w:multiLevelType w:val="hybridMultilevel"/>
    <w:tmpl w:val="2ECA4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9C46E2"/>
    <w:multiLevelType w:val="hybridMultilevel"/>
    <w:tmpl w:val="0F6CE290"/>
    <w:lvl w:ilvl="0" w:tplc="C9925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10E56AC"/>
    <w:multiLevelType w:val="hybridMultilevel"/>
    <w:tmpl w:val="F1E2ED5A"/>
    <w:lvl w:ilvl="0" w:tplc="04150011">
      <w:start w:val="1"/>
      <w:numFmt w:val="decimal"/>
      <w:lvlText w:val="%1)"/>
      <w:lvlJc w:val="left"/>
      <w:pPr>
        <w:ind w:left="830" w:hanging="360"/>
      </w:pPr>
    </w:lvl>
    <w:lvl w:ilvl="1" w:tplc="04150019" w:tentative="1">
      <w:start w:val="1"/>
      <w:numFmt w:val="lowerLetter"/>
      <w:lvlText w:val="%2."/>
      <w:lvlJc w:val="left"/>
      <w:pPr>
        <w:ind w:left="1550" w:hanging="360"/>
      </w:pPr>
    </w:lvl>
    <w:lvl w:ilvl="2" w:tplc="0415001B" w:tentative="1">
      <w:start w:val="1"/>
      <w:numFmt w:val="lowerRoman"/>
      <w:lvlText w:val="%3."/>
      <w:lvlJc w:val="right"/>
      <w:pPr>
        <w:ind w:left="2270" w:hanging="180"/>
      </w:pPr>
    </w:lvl>
    <w:lvl w:ilvl="3" w:tplc="0415000F" w:tentative="1">
      <w:start w:val="1"/>
      <w:numFmt w:val="decimal"/>
      <w:lvlText w:val="%4."/>
      <w:lvlJc w:val="left"/>
      <w:pPr>
        <w:ind w:left="2990" w:hanging="360"/>
      </w:pPr>
    </w:lvl>
    <w:lvl w:ilvl="4" w:tplc="04150019" w:tentative="1">
      <w:start w:val="1"/>
      <w:numFmt w:val="lowerLetter"/>
      <w:lvlText w:val="%5."/>
      <w:lvlJc w:val="left"/>
      <w:pPr>
        <w:ind w:left="3710" w:hanging="360"/>
      </w:pPr>
    </w:lvl>
    <w:lvl w:ilvl="5" w:tplc="0415001B" w:tentative="1">
      <w:start w:val="1"/>
      <w:numFmt w:val="lowerRoman"/>
      <w:lvlText w:val="%6."/>
      <w:lvlJc w:val="right"/>
      <w:pPr>
        <w:ind w:left="4430" w:hanging="180"/>
      </w:pPr>
    </w:lvl>
    <w:lvl w:ilvl="6" w:tplc="0415000F" w:tentative="1">
      <w:start w:val="1"/>
      <w:numFmt w:val="decimal"/>
      <w:lvlText w:val="%7."/>
      <w:lvlJc w:val="left"/>
      <w:pPr>
        <w:ind w:left="5150" w:hanging="360"/>
      </w:pPr>
    </w:lvl>
    <w:lvl w:ilvl="7" w:tplc="04150019" w:tentative="1">
      <w:start w:val="1"/>
      <w:numFmt w:val="lowerLetter"/>
      <w:lvlText w:val="%8."/>
      <w:lvlJc w:val="left"/>
      <w:pPr>
        <w:ind w:left="5870" w:hanging="360"/>
      </w:pPr>
    </w:lvl>
    <w:lvl w:ilvl="8" w:tplc="0415001B" w:tentative="1">
      <w:start w:val="1"/>
      <w:numFmt w:val="lowerRoman"/>
      <w:lvlText w:val="%9."/>
      <w:lvlJc w:val="right"/>
      <w:pPr>
        <w:ind w:left="6590" w:hanging="180"/>
      </w:pPr>
    </w:lvl>
  </w:abstractNum>
  <w:abstractNum w:abstractNumId="10"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2" w15:restartNumberingAfterBreak="0">
    <w:nsid w:val="277200BB"/>
    <w:multiLevelType w:val="hybridMultilevel"/>
    <w:tmpl w:val="BD308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FB42B0"/>
    <w:multiLevelType w:val="hybridMultilevel"/>
    <w:tmpl w:val="3D7AE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8427B5"/>
    <w:multiLevelType w:val="hybridMultilevel"/>
    <w:tmpl w:val="82BA78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E32206"/>
    <w:multiLevelType w:val="hybridMultilevel"/>
    <w:tmpl w:val="7FE01E46"/>
    <w:lvl w:ilvl="0" w:tplc="BCA80F84">
      <w:start w:val="1"/>
      <w:numFmt w:val="decimal"/>
      <w:lvlText w:val="%1)"/>
      <w:lvlJc w:val="left"/>
      <w:pPr>
        <w:ind w:left="398" w:hanging="360"/>
      </w:pPr>
      <w:rPr>
        <w:rFonts w:hint="default"/>
      </w:rPr>
    </w:lvl>
    <w:lvl w:ilvl="1" w:tplc="04150019" w:tentative="1">
      <w:start w:val="1"/>
      <w:numFmt w:val="lowerLetter"/>
      <w:lvlText w:val="%2."/>
      <w:lvlJc w:val="left"/>
      <w:pPr>
        <w:ind w:left="1118" w:hanging="360"/>
      </w:pPr>
    </w:lvl>
    <w:lvl w:ilvl="2" w:tplc="0415001B" w:tentative="1">
      <w:start w:val="1"/>
      <w:numFmt w:val="lowerRoman"/>
      <w:lvlText w:val="%3."/>
      <w:lvlJc w:val="right"/>
      <w:pPr>
        <w:ind w:left="1838" w:hanging="180"/>
      </w:pPr>
    </w:lvl>
    <w:lvl w:ilvl="3" w:tplc="0415000F" w:tentative="1">
      <w:start w:val="1"/>
      <w:numFmt w:val="decimal"/>
      <w:lvlText w:val="%4."/>
      <w:lvlJc w:val="left"/>
      <w:pPr>
        <w:ind w:left="2558" w:hanging="360"/>
      </w:pPr>
    </w:lvl>
    <w:lvl w:ilvl="4" w:tplc="04150019" w:tentative="1">
      <w:start w:val="1"/>
      <w:numFmt w:val="lowerLetter"/>
      <w:lvlText w:val="%5."/>
      <w:lvlJc w:val="left"/>
      <w:pPr>
        <w:ind w:left="3278" w:hanging="360"/>
      </w:pPr>
    </w:lvl>
    <w:lvl w:ilvl="5" w:tplc="0415001B" w:tentative="1">
      <w:start w:val="1"/>
      <w:numFmt w:val="lowerRoman"/>
      <w:lvlText w:val="%6."/>
      <w:lvlJc w:val="right"/>
      <w:pPr>
        <w:ind w:left="3998" w:hanging="180"/>
      </w:pPr>
    </w:lvl>
    <w:lvl w:ilvl="6" w:tplc="0415000F" w:tentative="1">
      <w:start w:val="1"/>
      <w:numFmt w:val="decimal"/>
      <w:lvlText w:val="%7."/>
      <w:lvlJc w:val="left"/>
      <w:pPr>
        <w:ind w:left="4718" w:hanging="360"/>
      </w:pPr>
    </w:lvl>
    <w:lvl w:ilvl="7" w:tplc="04150019" w:tentative="1">
      <w:start w:val="1"/>
      <w:numFmt w:val="lowerLetter"/>
      <w:lvlText w:val="%8."/>
      <w:lvlJc w:val="left"/>
      <w:pPr>
        <w:ind w:left="5438" w:hanging="360"/>
      </w:pPr>
    </w:lvl>
    <w:lvl w:ilvl="8" w:tplc="0415001B" w:tentative="1">
      <w:start w:val="1"/>
      <w:numFmt w:val="lowerRoman"/>
      <w:lvlText w:val="%9."/>
      <w:lvlJc w:val="right"/>
      <w:pPr>
        <w:ind w:left="6158" w:hanging="180"/>
      </w:pPr>
    </w:lvl>
  </w:abstractNum>
  <w:abstractNum w:abstractNumId="17"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692AD6"/>
    <w:multiLevelType w:val="hybridMultilevel"/>
    <w:tmpl w:val="24786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20"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446A59D0"/>
    <w:multiLevelType w:val="hybridMultilevel"/>
    <w:tmpl w:val="832CA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4" w15:restartNumberingAfterBreak="0">
    <w:nsid w:val="4DDB7D34"/>
    <w:multiLevelType w:val="hybridMultilevel"/>
    <w:tmpl w:val="D96479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0127FE"/>
    <w:multiLevelType w:val="hybridMultilevel"/>
    <w:tmpl w:val="EE561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58C95EA7"/>
    <w:multiLevelType w:val="hybridMultilevel"/>
    <w:tmpl w:val="D28CF3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1"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3" w15:restartNumberingAfterBreak="0">
    <w:nsid w:val="63074B14"/>
    <w:multiLevelType w:val="hybridMultilevel"/>
    <w:tmpl w:val="1A6C0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DD39CB"/>
    <w:multiLevelType w:val="hybridMultilevel"/>
    <w:tmpl w:val="F71CAC3C"/>
    <w:lvl w:ilvl="0" w:tplc="987651EA">
      <w:start w:val="1"/>
      <w:numFmt w:val="decimal"/>
      <w:lvlText w:val="%1)"/>
      <w:lvlJc w:val="left"/>
      <w:pPr>
        <w:ind w:left="318" w:hanging="360"/>
      </w:pPr>
      <w:rPr>
        <w:rFonts w:hint="default"/>
      </w:rPr>
    </w:lvl>
    <w:lvl w:ilvl="1" w:tplc="04150019" w:tentative="1">
      <w:start w:val="1"/>
      <w:numFmt w:val="lowerLetter"/>
      <w:lvlText w:val="%2."/>
      <w:lvlJc w:val="left"/>
      <w:pPr>
        <w:ind w:left="1038" w:hanging="360"/>
      </w:pPr>
    </w:lvl>
    <w:lvl w:ilvl="2" w:tplc="0415001B" w:tentative="1">
      <w:start w:val="1"/>
      <w:numFmt w:val="lowerRoman"/>
      <w:lvlText w:val="%3."/>
      <w:lvlJc w:val="right"/>
      <w:pPr>
        <w:ind w:left="1758" w:hanging="180"/>
      </w:pPr>
    </w:lvl>
    <w:lvl w:ilvl="3" w:tplc="0415000F" w:tentative="1">
      <w:start w:val="1"/>
      <w:numFmt w:val="decimal"/>
      <w:lvlText w:val="%4."/>
      <w:lvlJc w:val="left"/>
      <w:pPr>
        <w:ind w:left="2478" w:hanging="360"/>
      </w:pPr>
    </w:lvl>
    <w:lvl w:ilvl="4" w:tplc="04150019" w:tentative="1">
      <w:start w:val="1"/>
      <w:numFmt w:val="lowerLetter"/>
      <w:lvlText w:val="%5."/>
      <w:lvlJc w:val="left"/>
      <w:pPr>
        <w:ind w:left="3198" w:hanging="360"/>
      </w:pPr>
    </w:lvl>
    <w:lvl w:ilvl="5" w:tplc="0415001B" w:tentative="1">
      <w:start w:val="1"/>
      <w:numFmt w:val="lowerRoman"/>
      <w:lvlText w:val="%6."/>
      <w:lvlJc w:val="right"/>
      <w:pPr>
        <w:ind w:left="3918" w:hanging="180"/>
      </w:pPr>
    </w:lvl>
    <w:lvl w:ilvl="6" w:tplc="0415000F" w:tentative="1">
      <w:start w:val="1"/>
      <w:numFmt w:val="decimal"/>
      <w:lvlText w:val="%7."/>
      <w:lvlJc w:val="left"/>
      <w:pPr>
        <w:ind w:left="4638" w:hanging="360"/>
      </w:pPr>
    </w:lvl>
    <w:lvl w:ilvl="7" w:tplc="04150019" w:tentative="1">
      <w:start w:val="1"/>
      <w:numFmt w:val="lowerLetter"/>
      <w:lvlText w:val="%8."/>
      <w:lvlJc w:val="left"/>
      <w:pPr>
        <w:ind w:left="5358" w:hanging="360"/>
      </w:pPr>
    </w:lvl>
    <w:lvl w:ilvl="8" w:tplc="0415001B" w:tentative="1">
      <w:start w:val="1"/>
      <w:numFmt w:val="lowerRoman"/>
      <w:lvlText w:val="%9."/>
      <w:lvlJc w:val="right"/>
      <w:pPr>
        <w:ind w:left="6078" w:hanging="180"/>
      </w:pPr>
    </w:lvl>
  </w:abstractNum>
  <w:abstractNum w:abstractNumId="35" w15:restartNumberingAfterBreak="0">
    <w:nsid w:val="681D6D83"/>
    <w:multiLevelType w:val="hybridMultilevel"/>
    <w:tmpl w:val="E3641E7E"/>
    <w:lvl w:ilvl="0" w:tplc="8EB06D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B91ABC"/>
    <w:multiLevelType w:val="hybridMultilevel"/>
    <w:tmpl w:val="C5F830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59F369F"/>
    <w:multiLevelType w:val="hybridMultilevel"/>
    <w:tmpl w:val="6212B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350DE"/>
    <w:multiLevelType w:val="hybridMultilevel"/>
    <w:tmpl w:val="49604CC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5B869E1"/>
    <w:multiLevelType w:val="hybridMultilevel"/>
    <w:tmpl w:val="66C88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6E16CB2"/>
    <w:multiLevelType w:val="hybridMultilevel"/>
    <w:tmpl w:val="684CA09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A7A7A6D"/>
    <w:multiLevelType w:val="hybridMultilevel"/>
    <w:tmpl w:val="DF100E0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ADC0A4E"/>
    <w:multiLevelType w:val="hybridMultilevel"/>
    <w:tmpl w:val="0914A914"/>
    <w:lvl w:ilvl="0" w:tplc="C9925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D575609"/>
    <w:multiLevelType w:val="hybridMultilevel"/>
    <w:tmpl w:val="D12AB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7"/>
  </w:num>
  <w:num w:numId="4">
    <w:abstractNumId w:val="31"/>
  </w:num>
  <w:num w:numId="5">
    <w:abstractNumId w:val="1"/>
  </w:num>
  <w:num w:numId="6">
    <w:abstractNumId w:val="13"/>
  </w:num>
  <w:num w:numId="7">
    <w:abstractNumId w:val="22"/>
  </w:num>
  <w:num w:numId="8">
    <w:abstractNumId w:val="8"/>
  </w:num>
  <w:num w:numId="9">
    <w:abstractNumId w:val="26"/>
  </w:num>
  <w:num w:numId="10">
    <w:abstractNumId w:val="20"/>
  </w:num>
  <w:num w:numId="11">
    <w:abstractNumId w:val="23"/>
  </w:num>
  <w:num w:numId="12">
    <w:abstractNumId w:val="4"/>
  </w:num>
  <w:num w:numId="13">
    <w:abstractNumId w:val="19"/>
  </w:num>
  <w:num w:numId="14">
    <w:abstractNumId w:val="32"/>
  </w:num>
  <w:num w:numId="15">
    <w:abstractNumId w:val="28"/>
  </w:num>
  <w:num w:numId="16">
    <w:abstractNumId w:val="30"/>
  </w:num>
  <w:num w:numId="17">
    <w:abstractNumId w:val="10"/>
  </w:num>
  <w:num w:numId="18">
    <w:abstractNumId w:val="37"/>
  </w:num>
  <w:num w:numId="19">
    <w:abstractNumId w:val="44"/>
  </w:num>
  <w:num w:numId="20">
    <w:abstractNumId w:val="29"/>
  </w:num>
  <w:num w:numId="21">
    <w:abstractNumId w:val="11"/>
  </w:num>
  <w:num w:numId="22">
    <w:abstractNumId w:val="35"/>
  </w:num>
  <w:num w:numId="23">
    <w:abstractNumId w:val="9"/>
  </w:num>
  <w:num w:numId="24">
    <w:abstractNumId w:val="25"/>
  </w:num>
  <w:num w:numId="25">
    <w:abstractNumId w:val="40"/>
  </w:num>
  <w:num w:numId="26">
    <w:abstractNumId w:val="45"/>
  </w:num>
  <w:num w:numId="27">
    <w:abstractNumId w:val="3"/>
  </w:num>
  <w:num w:numId="28">
    <w:abstractNumId w:val="24"/>
  </w:num>
  <w:num w:numId="29">
    <w:abstractNumId w:val="42"/>
  </w:num>
  <w:num w:numId="30">
    <w:abstractNumId w:val="16"/>
  </w:num>
  <w:num w:numId="31">
    <w:abstractNumId w:val="18"/>
  </w:num>
  <w:num w:numId="32">
    <w:abstractNumId w:val="2"/>
  </w:num>
  <w:num w:numId="33">
    <w:abstractNumId w:val="12"/>
  </w:num>
  <w:num w:numId="34">
    <w:abstractNumId w:val="33"/>
  </w:num>
  <w:num w:numId="35">
    <w:abstractNumId w:val="39"/>
  </w:num>
  <w:num w:numId="36">
    <w:abstractNumId w:val="41"/>
  </w:num>
  <w:num w:numId="37">
    <w:abstractNumId w:val="38"/>
  </w:num>
  <w:num w:numId="38">
    <w:abstractNumId w:val="14"/>
  </w:num>
  <w:num w:numId="39">
    <w:abstractNumId w:val="43"/>
  </w:num>
  <w:num w:numId="40">
    <w:abstractNumId w:val="27"/>
  </w:num>
  <w:num w:numId="41">
    <w:abstractNumId w:val="34"/>
  </w:num>
  <w:num w:numId="42">
    <w:abstractNumId w:val="21"/>
  </w:num>
  <w:num w:numId="43">
    <w:abstractNumId w:val="15"/>
  </w:num>
  <w:num w:numId="44">
    <w:abstractNumId w:val="5"/>
  </w:num>
  <w:num w:numId="45">
    <w:abstractNumId w:val="6"/>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5EE"/>
    <w:rsid w:val="000022D5"/>
    <w:rsid w:val="0000443D"/>
    <w:rsid w:val="00004C6A"/>
    <w:rsid w:val="00011C98"/>
    <w:rsid w:val="00012B0D"/>
    <w:rsid w:val="00012D11"/>
    <w:rsid w:val="00013B10"/>
    <w:rsid w:val="00013EB5"/>
    <w:rsid w:val="00023836"/>
    <w:rsid w:val="00023CDA"/>
    <w:rsid w:val="000259AC"/>
    <w:rsid w:val="00033D31"/>
    <w:rsid w:val="000356A9"/>
    <w:rsid w:val="00037449"/>
    <w:rsid w:val="00044138"/>
    <w:rsid w:val="00044739"/>
    <w:rsid w:val="00051637"/>
    <w:rsid w:val="00053AB9"/>
    <w:rsid w:val="00056681"/>
    <w:rsid w:val="000648A7"/>
    <w:rsid w:val="0006618B"/>
    <w:rsid w:val="000670C0"/>
    <w:rsid w:val="00071B99"/>
    <w:rsid w:val="000756E5"/>
    <w:rsid w:val="0007704E"/>
    <w:rsid w:val="00080EC8"/>
    <w:rsid w:val="00081EEF"/>
    <w:rsid w:val="000944AC"/>
    <w:rsid w:val="00094CB9"/>
    <w:rsid w:val="000956B2"/>
    <w:rsid w:val="000969E7"/>
    <w:rsid w:val="000A23DE"/>
    <w:rsid w:val="000A4020"/>
    <w:rsid w:val="000B54FB"/>
    <w:rsid w:val="000B7ADB"/>
    <w:rsid w:val="000C29B0"/>
    <w:rsid w:val="000C4FF7"/>
    <w:rsid w:val="000C76FC"/>
    <w:rsid w:val="000D0E2A"/>
    <w:rsid w:val="000D38FC"/>
    <w:rsid w:val="000D4D90"/>
    <w:rsid w:val="000E2D10"/>
    <w:rsid w:val="000F3204"/>
    <w:rsid w:val="00103EA5"/>
    <w:rsid w:val="0010548B"/>
    <w:rsid w:val="001072D1"/>
    <w:rsid w:val="001159E9"/>
    <w:rsid w:val="00117017"/>
    <w:rsid w:val="001232E2"/>
    <w:rsid w:val="0012470D"/>
    <w:rsid w:val="00130E8E"/>
    <w:rsid w:val="0013216E"/>
    <w:rsid w:val="0013433E"/>
    <w:rsid w:val="001379CA"/>
    <w:rsid w:val="001401B5"/>
    <w:rsid w:val="001413DF"/>
    <w:rsid w:val="001422B9"/>
    <w:rsid w:val="0014665F"/>
    <w:rsid w:val="00153464"/>
    <w:rsid w:val="001541B3"/>
    <w:rsid w:val="00154E4C"/>
    <w:rsid w:val="00155B15"/>
    <w:rsid w:val="001625BE"/>
    <w:rsid w:val="00163987"/>
    <w:rsid w:val="001643A4"/>
    <w:rsid w:val="001643C9"/>
    <w:rsid w:val="00164A2B"/>
    <w:rsid w:val="001727BB"/>
    <w:rsid w:val="00177559"/>
    <w:rsid w:val="00180D25"/>
    <w:rsid w:val="0018318D"/>
    <w:rsid w:val="0018572C"/>
    <w:rsid w:val="00187E79"/>
    <w:rsid w:val="00187F0D"/>
    <w:rsid w:val="00192CC5"/>
    <w:rsid w:val="001956A7"/>
    <w:rsid w:val="001A118A"/>
    <w:rsid w:val="001A27F4"/>
    <w:rsid w:val="001A2D95"/>
    <w:rsid w:val="001A45EE"/>
    <w:rsid w:val="001B3460"/>
    <w:rsid w:val="001B4CA1"/>
    <w:rsid w:val="001B75D8"/>
    <w:rsid w:val="001C1060"/>
    <w:rsid w:val="001C3C63"/>
    <w:rsid w:val="001C6663"/>
    <w:rsid w:val="001D1CAE"/>
    <w:rsid w:val="001D4732"/>
    <w:rsid w:val="001D6A3C"/>
    <w:rsid w:val="001D6D51"/>
    <w:rsid w:val="001E79B7"/>
    <w:rsid w:val="001F653A"/>
    <w:rsid w:val="001F6979"/>
    <w:rsid w:val="00202BC6"/>
    <w:rsid w:val="00204269"/>
    <w:rsid w:val="00205141"/>
    <w:rsid w:val="0020516B"/>
    <w:rsid w:val="00205AA1"/>
    <w:rsid w:val="00211EBC"/>
    <w:rsid w:val="00213559"/>
    <w:rsid w:val="00213874"/>
    <w:rsid w:val="00213EFD"/>
    <w:rsid w:val="002162E4"/>
    <w:rsid w:val="002172F1"/>
    <w:rsid w:val="002212DC"/>
    <w:rsid w:val="00223C7B"/>
    <w:rsid w:val="00224AB1"/>
    <w:rsid w:val="0022687A"/>
    <w:rsid w:val="00230728"/>
    <w:rsid w:val="00234040"/>
    <w:rsid w:val="00234A7E"/>
    <w:rsid w:val="00235CD2"/>
    <w:rsid w:val="0024264C"/>
    <w:rsid w:val="002433DB"/>
    <w:rsid w:val="00244D07"/>
    <w:rsid w:val="002518B6"/>
    <w:rsid w:val="00254DED"/>
    <w:rsid w:val="0025519A"/>
    <w:rsid w:val="002552BD"/>
    <w:rsid w:val="00255619"/>
    <w:rsid w:val="00255DAD"/>
    <w:rsid w:val="00256108"/>
    <w:rsid w:val="00256306"/>
    <w:rsid w:val="00260F33"/>
    <w:rsid w:val="002613BD"/>
    <w:rsid w:val="002624F1"/>
    <w:rsid w:val="002676C8"/>
    <w:rsid w:val="00270C81"/>
    <w:rsid w:val="00271558"/>
    <w:rsid w:val="00274862"/>
    <w:rsid w:val="00282D72"/>
    <w:rsid w:val="00283402"/>
    <w:rsid w:val="002861D1"/>
    <w:rsid w:val="00290FD6"/>
    <w:rsid w:val="002931A9"/>
    <w:rsid w:val="002941DB"/>
    <w:rsid w:val="00294259"/>
    <w:rsid w:val="002A2C81"/>
    <w:rsid w:val="002A52CF"/>
    <w:rsid w:val="002B3D1A"/>
    <w:rsid w:val="002B4F51"/>
    <w:rsid w:val="002B53A2"/>
    <w:rsid w:val="002B5444"/>
    <w:rsid w:val="002C1609"/>
    <w:rsid w:val="002C1F7D"/>
    <w:rsid w:val="002C27D0"/>
    <w:rsid w:val="002C2C9B"/>
    <w:rsid w:val="002C75EF"/>
    <w:rsid w:val="002C780B"/>
    <w:rsid w:val="002D010E"/>
    <w:rsid w:val="002D17D6"/>
    <w:rsid w:val="002D18D7"/>
    <w:rsid w:val="002D21CE"/>
    <w:rsid w:val="002E3DA3"/>
    <w:rsid w:val="002E450F"/>
    <w:rsid w:val="002E5FFA"/>
    <w:rsid w:val="002E6B38"/>
    <w:rsid w:val="002E6D63"/>
    <w:rsid w:val="002E6E2B"/>
    <w:rsid w:val="002E75B9"/>
    <w:rsid w:val="002F500B"/>
    <w:rsid w:val="002F532C"/>
    <w:rsid w:val="00300991"/>
    <w:rsid w:val="00301959"/>
    <w:rsid w:val="003047BB"/>
    <w:rsid w:val="00305B8A"/>
    <w:rsid w:val="00317717"/>
    <w:rsid w:val="00320D5E"/>
    <w:rsid w:val="00327D3C"/>
    <w:rsid w:val="00331BF9"/>
    <w:rsid w:val="00333261"/>
    <w:rsid w:val="0033397C"/>
    <w:rsid w:val="0033495E"/>
    <w:rsid w:val="003349BF"/>
    <w:rsid w:val="00334A79"/>
    <w:rsid w:val="00334D8D"/>
    <w:rsid w:val="00337345"/>
    <w:rsid w:val="00337DD2"/>
    <w:rsid w:val="003404D1"/>
    <w:rsid w:val="003443FF"/>
    <w:rsid w:val="003513F8"/>
    <w:rsid w:val="00355808"/>
    <w:rsid w:val="00362C7E"/>
    <w:rsid w:val="00363309"/>
    <w:rsid w:val="00363601"/>
    <w:rsid w:val="003672C5"/>
    <w:rsid w:val="00376AC9"/>
    <w:rsid w:val="00393032"/>
    <w:rsid w:val="003936D9"/>
    <w:rsid w:val="00394B69"/>
    <w:rsid w:val="00397078"/>
    <w:rsid w:val="003A0414"/>
    <w:rsid w:val="003A6953"/>
    <w:rsid w:val="003B6083"/>
    <w:rsid w:val="003C3838"/>
    <w:rsid w:val="003C4740"/>
    <w:rsid w:val="003C5847"/>
    <w:rsid w:val="003D0681"/>
    <w:rsid w:val="003D12F6"/>
    <w:rsid w:val="003D1426"/>
    <w:rsid w:val="003D3277"/>
    <w:rsid w:val="003E2F4E"/>
    <w:rsid w:val="003E3B81"/>
    <w:rsid w:val="003E4B30"/>
    <w:rsid w:val="003E720A"/>
    <w:rsid w:val="003F3F83"/>
    <w:rsid w:val="00403E6E"/>
    <w:rsid w:val="004129B4"/>
    <w:rsid w:val="00417EF0"/>
    <w:rsid w:val="00422181"/>
    <w:rsid w:val="004236B1"/>
    <w:rsid w:val="004244A8"/>
    <w:rsid w:val="00425F72"/>
    <w:rsid w:val="00427736"/>
    <w:rsid w:val="00432119"/>
    <w:rsid w:val="00436BE3"/>
    <w:rsid w:val="00441787"/>
    <w:rsid w:val="00444F2D"/>
    <w:rsid w:val="00452034"/>
    <w:rsid w:val="00455915"/>
    <w:rsid w:val="00455FA6"/>
    <w:rsid w:val="00457051"/>
    <w:rsid w:val="00462DE9"/>
    <w:rsid w:val="00466C70"/>
    <w:rsid w:val="004702C9"/>
    <w:rsid w:val="00472E45"/>
    <w:rsid w:val="00473FEA"/>
    <w:rsid w:val="0047579D"/>
    <w:rsid w:val="00483262"/>
    <w:rsid w:val="00484107"/>
    <w:rsid w:val="00485CC5"/>
    <w:rsid w:val="0049343F"/>
    <w:rsid w:val="00494F4B"/>
    <w:rsid w:val="004964FC"/>
    <w:rsid w:val="004A08DC"/>
    <w:rsid w:val="004A0998"/>
    <w:rsid w:val="004A145E"/>
    <w:rsid w:val="004A1F15"/>
    <w:rsid w:val="004A2A81"/>
    <w:rsid w:val="004A7BD7"/>
    <w:rsid w:val="004C15C2"/>
    <w:rsid w:val="004C36D8"/>
    <w:rsid w:val="004C6A0C"/>
    <w:rsid w:val="004C7841"/>
    <w:rsid w:val="004D1248"/>
    <w:rsid w:val="004D1E3C"/>
    <w:rsid w:val="004D3DE2"/>
    <w:rsid w:val="004D4169"/>
    <w:rsid w:val="004D6E14"/>
    <w:rsid w:val="004E1340"/>
    <w:rsid w:val="004E316B"/>
    <w:rsid w:val="004E5CED"/>
    <w:rsid w:val="004E72C0"/>
    <w:rsid w:val="004F4E17"/>
    <w:rsid w:val="004F5A9D"/>
    <w:rsid w:val="0050082F"/>
    <w:rsid w:val="00500C56"/>
    <w:rsid w:val="00501713"/>
    <w:rsid w:val="00502527"/>
    <w:rsid w:val="00502C98"/>
    <w:rsid w:val="0050413F"/>
    <w:rsid w:val="00506568"/>
    <w:rsid w:val="005106C8"/>
    <w:rsid w:val="00513EB3"/>
    <w:rsid w:val="00514131"/>
    <w:rsid w:val="0051551B"/>
    <w:rsid w:val="00520C57"/>
    <w:rsid w:val="00522D94"/>
    <w:rsid w:val="00525FB6"/>
    <w:rsid w:val="00533D89"/>
    <w:rsid w:val="00536564"/>
    <w:rsid w:val="00544597"/>
    <w:rsid w:val="00544FFE"/>
    <w:rsid w:val="005473F5"/>
    <w:rsid w:val="005477E7"/>
    <w:rsid w:val="00552794"/>
    <w:rsid w:val="00557930"/>
    <w:rsid w:val="005610AC"/>
    <w:rsid w:val="005626B0"/>
    <w:rsid w:val="00563199"/>
    <w:rsid w:val="00564874"/>
    <w:rsid w:val="00567963"/>
    <w:rsid w:val="0057009A"/>
    <w:rsid w:val="005704FE"/>
    <w:rsid w:val="00571260"/>
    <w:rsid w:val="0057189C"/>
    <w:rsid w:val="00573FC1"/>
    <w:rsid w:val="005741EE"/>
    <w:rsid w:val="0057668E"/>
    <w:rsid w:val="00585DBD"/>
    <w:rsid w:val="00595E83"/>
    <w:rsid w:val="00596530"/>
    <w:rsid w:val="005967F3"/>
    <w:rsid w:val="005A06DF"/>
    <w:rsid w:val="005A43DA"/>
    <w:rsid w:val="005A4881"/>
    <w:rsid w:val="005A5527"/>
    <w:rsid w:val="005A5AE6"/>
    <w:rsid w:val="005B1206"/>
    <w:rsid w:val="005B37E8"/>
    <w:rsid w:val="005B5E70"/>
    <w:rsid w:val="005C0056"/>
    <w:rsid w:val="005C1330"/>
    <w:rsid w:val="005C5C35"/>
    <w:rsid w:val="005D356E"/>
    <w:rsid w:val="005D5317"/>
    <w:rsid w:val="005D61D6"/>
    <w:rsid w:val="005D6929"/>
    <w:rsid w:val="005D6EAD"/>
    <w:rsid w:val="005E0D13"/>
    <w:rsid w:val="005E5047"/>
    <w:rsid w:val="005E7205"/>
    <w:rsid w:val="005E7371"/>
    <w:rsid w:val="005F116C"/>
    <w:rsid w:val="005F2131"/>
    <w:rsid w:val="005F2FB9"/>
    <w:rsid w:val="005F4D24"/>
    <w:rsid w:val="005F658F"/>
    <w:rsid w:val="0060287A"/>
    <w:rsid w:val="00605EF6"/>
    <w:rsid w:val="00606455"/>
    <w:rsid w:val="00613692"/>
    <w:rsid w:val="00614929"/>
    <w:rsid w:val="00614B04"/>
    <w:rsid w:val="00616511"/>
    <w:rsid w:val="006176ED"/>
    <w:rsid w:val="006202F3"/>
    <w:rsid w:val="0062097A"/>
    <w:rsid w:val="00621DA6"/>
    <w:rsid w:val="00623CFE"/>
    <w:rsid w:val="00627221"/>
    <w:rsid w:val="00627EE8"/>
    <w:rsid w:val="006316FA"/>
    <w:rsid w:val="00633541"/>
    <w:rsid w:val="00633CFA"/>
    <w:rsid w:val="006370D2"/>
    <w:rsid w:val="0064074F"/>
    <w:rsid w:val="00640772"/>
    <w:rsid w:val="00641F55"/>
    <w:rsid w:val="00642EA0"/>
    <w:rsid w:val="00645E4A"/>
    <w:rsid w:val="00647D76"/>
    <w:rsid w:val="00650C1E"/>
    <w:rsid w:val="00653688"/>
    <w:rsid w:val="00656825"/>
    <w:rsid w:val="0066091B"/>
    <w:rsid w:val="0066322F"/>
    <w:rsid w:val="006660E9"/>
    <w:rsid w:val="00667249"/>
    <w:rsid w:val="0066729B"/>
    <w:rsid w:val="00667558"/>
    <w:rsid w:val="00671523"/>
    <w:rsid w:val="006754EF"/>
    <w:rsid w:val="006755F7"/>
    <w:rsid w:val="00675E0F"/>
    <w:rsid w:val="00676C8D"/>
    <w:rsid w:val="00676F1F"/>
    <w:rsid w:val="00677381"/>
    <w:rsid w:val="00677414"/>
    <w:rsid w:val="0068045A"/>
    <w:rsid w:val="00682D89"/>
    <w:rsid w:val="006832CF"/>
    <w:rsid w:val="0068601E"/>
    <w:rsid w:val="0069486B"/>
    <w:rsid w:val="00694D8F"/>
    <w:rsid w:val="006A2428"/>
    <w:rsid w:val="006A4904"/>
    <w:rsid w:val="006A4E6D"/>
    <w:rsid w:val="006A548F"/>
    <w:rsid w:val="006A701A"/>
    <w:rsid w:val="006B64DC"/>
    <w:rsid w:val="006B7A91"/>
    <w:rsid w:val="006C0FD1"/>
    <w:rsid w:val="006C161F"/>
    <w:rsid w:val="006C4216"/>
    <w:rsid w:val="006D4704"/>
    <w:rsid w:val="006D6A2D"/>
    <w:rsid w:val="006D7AA7"/>
    <w:rsid w:val="006E1E18"/>
    <w:rsid w:val="006E31CE"/>
    <w:rsid w:val="006E34D3"/>
    <w:rsid w:val="006E50F2"/>
    <w:rsid w:val="006E54BC"/>
    <w:rsid w:val="006E6404"/>
    <w:rsid w:val="006E7171"/>
    <w:rsid w:val="006E7743"/>
    <w:rsid w:val="006F1435"/>
    <w:rsid w:val="006F78C4"/>
    <w:rsid w:val="007024B3"/>
    <w:rsid w:val="007031A0"/>
    <w:rsid w:val="007038DE"/>
    <w:rsid w:val="00705A29"/>
    <w:rsid w:val="00707498"/>
    <w:rsid w:val="00711A65"/>
    <w:rsid w:val="00714133"/>
    <w:rsid w:val="00714DA4"/>
    <w:rsid w:val="007158B2"/>
    <w:rsid w:val="00716081"/>
    <w:rsid w:val="00716C04"/>
    <w:rsid w:val="00722B48"/>
    <w:rsid w:val="00724164"/>
    <w:rsid w:val="00724A28"/>
    <w:rsid w:val="00725DE7"/>
    <w:rsid w:val="0072636A"/>
    <w:rsid w:val="00726B44"/>
    <w:rsid w:val="007318DD"/>
    <w:rsid w:val="00733167"/>
    <w:rsid w:val="00740D2C"/>
    <w:rsid w:val="00744BF9"/>
    <w:rsid w:val="00752623"/>
    <w:rsid w:val="007606F6"/>
    <w:rsid w:val="00760F1F"/>
    <w:rsid w:val="0076423E"/>
    <w:rsid w:val="007646CB"/>
    <w:rsid w:val="007659A2"/>
    <w:rsid w:val="0076658F"/>
    <w:rsid w:val="00767D4B"/>
    <w:rsid w:val="007700CC"/>
    <w:rsid w:val="0077040A"/>
    <w:rsid w:val="00772D64"/>
    <w:rsid w:val="00775657"/>
    <w:rsid w:val="00792609"/>
    <w:rsid w:val="00792887"/>
    <w:rsid w:val="007943E2"/>
    <w:rsid w:val="00794F2C"/>
    <w:rsid w:val="007A3BC7"/>
    <w:rsid w:val="007A5AC4"/>
    <w:rsid w:val="007B0FDD"/>
    <w:rsid w:val="007B4802"/>
    <w:rsid w:val="007B6668"/>
    <w:rsid w:val="007B6B33"/>
    <w:rsid w:val="007C1438"/>
    <w:rsid w:val="007C2701"/>
    <w:rsid w:val="007C3452"/>
    <w:rsid w:val="007D2192"/>
    <w:rsid w:val="007D5185"/>
    <w:rsid w:val="007E5B4F"/>
    <w:rsid w:val="007F0021"/>
    <w:rsid w:val="007F2F52"/>
    <w:rsid w:val="007F4A34"/>
    <w:rsid w:val="00801F71"/>
    <w:rsid w:val="00803866"/>
    <w:rsid w:val="00805F28"/>
    <w:rsid w:val="0080749F"/>
    <w:rsid w:val="00811D46"/>
    <w:rsid w:val="008125B0"/>
    <w:rsid w:val="008144CB"/>
    <w:rsid w:val="00821717"/>
    <w:rsid w:val="008230D8"/>
    <w:rsid w:val="00824210"/>
    <w:rsid w:val="008263C0"/>
    <w:rsid w:val="00840412"/>
    <w:rsid w:val="00841422"/>
    <w:rsid w:val="00841D3B"/>
    <w:rsid w:val="0084314C"/>
    <w:rsid w:val="00843171"/>
    <w:rsid w:val="00851E8F"/>
    <w:rsid w:val="0085220B"/>
    <w:rsid w:val="0085383F"/>
    <w:rsid w:val="00855453"/>
    <w:rsid w:val="008575C3"/>
    <w:rsid w:val="00863D28"/>
    <w:rsid w:val="008648C3"/>
    <w:rsid w:val="00870049"/>
    <w:rsid w:val="00872A79"/>
    <w:rsid w:val="00880F26"/>
    <w:rsid w:val="00882E3C"/>
    <w:rsid w:val="008925E1"/>
    <w:rsid w:val="00896C2E"/>
    <w:rsid w:val="008A28B1"/>
    <w:rsid w:val="008A5095"/>
    <w:rsid w:val="008A608F"/>
    <w:rsid w:val="008B1A9A"/>
    <w:rsid w:val="008B42A3"/>
    <w:rsid w:val="008B4FE6"/>
    <w:rsid w:val="008B6C37"/>
    <w:rsid w:val="008C0A9A"/>
    <w:rsid w:val="008C2523"/>
    <w:rsid w:val="008C4523"/>
    <w:rsid w:val="008D3B73"/>
    <w:rsid w:val="008D57F3"/>
    <w:rsid w:val="008D6667"/>
    <w:rsid w:val="008E18F7"/>
    <w:rsid w:val="008E1E10"/>
    <w:rsid w:val="008E291B"/>
    <w:rsid w:val="008E4F2F"/>
    <w:rsid w:val="008E74B0"/>
    <w:rsid w:val="00900327"/>
    <w:rsid w:val="009008A8"/>
    <w:rsid w:val="00905DF0"/>
    <w:rsid w:val="009063B0"/>
    <w:rsid w:val="00907106"/>
    <w:rsid w:val="009107FD"/>
    <w:rsid w:val="0091137C"/>
    <w:rsid w:val="00911567"/>
    <w:rsid w:val="00917AAE"/>
    <w:rsid w:val="009251A9"/>
    <w:rsid w:val="00930699"/>
    <w:rsid w:val="00931F69"/>
    <w:rsid w:val="00933A3A"/>
    <w:rsid w:val="00934123"/>
    <w:rsid w:val="00940341"/>
    <w:rsid w:val="009406A1"/>
    <w:rsid w:val="0095195C"/>
    <w:rsid w:val="00955774"/>
    <w:rsid w:val="009560B5"/>
    <w:rsid w:val="00956AA1"/>
    <w:rsid w:val="00964C90"/>
    <w:rsid w:val="00970120"/>
    <w:rsid w:val="009703D6"/>
    <w:rsid w:val="0097181B"/>
    <w:rsid w:val="00976DC5"/>
    <w:rsid w:val="00977E09"/>
    <w:rsid w:val="00981726"/>
    <w:rsid w:val="009818C7"/>
    <w:rsid w:val="00982DD4"/>
    <w:rsid w:val="009841E5"/>
    <w:rsid w:val="0098479F"/>
    <w:rsid w:val="00984A8A"/>
    <w:rsid w:val="009857B6"/>
    <w:rsid w:val="00985A8D"/>
    <w:rsid w:val="00986610"/>
    <w:rsid w:val="009877DC"/>
    <w:rsid w:val="00991F96"/>
    <w:rsid w:val="00996F0A"/>
    <w:rsid w:val="009971AF"/>
    <w:rsid w:val="009A1D86"/>
    <w:rsid w:val="009A5C47"/>
    <w:rsid w:val="009B049C"/>
    <w:rsid w:val="009B11C8"/>
    <w:rsid w:val="009B2BCF"/>
    <w:rsid w:val="009B2FF8"/>
    <w:rsid w:val="009B5BA3"/>
    <w:rsid w:val="009C1C67"/>
    <w:rsid w:val="009C6408"/>
    <w:rsid w:val="009D0027"/>
    <w:rsid w:val="009D0655"/>
    <w:rsid w:val="009D7CA6"/>
    <w:rsid w:val="009E1E98"/>
    <w:rsid w:val="009E3ABE"/>
    <w:rsid w:val="009E3BA0"/>
    <w:rsid w:val="009E3C4B"/>
    <w:rsid w:val="009E69EA"/>
    <w:rsid w:val="009F0637"/>
    <w:rsid w:val="009F6057"/>
    <w:rsid w:val="009F62A6"/>
    <w:rsid w:val="009F674F"/>
    <w:rsid w:val="009F799E"/>
    <w:rsid w:val="00A0092C"/>
    <w:rsid w:val="00A02020"/>
    <w:rsid w:val="00A056CB"/>
    <w:rsid w:val="00A07A29"/>
    <w:rsid w:val="00A10FF1"/>
    <w:rsid w:val="00A11782"/>
    <w:rsid w:val="00A1506B"/>
    <w:rsid w:val="00A178AD"/>
    <w:rsid w:val="00A17CB2"/>
    <w:rsid w:val="00A23191"/>
    <w:rsid w:val="00A23B9C"/>
    <w:rsid w:val="00A23D3E"/>
    <w:rsid w:val="00A25EBC"/>
    <w:rsid w:val="00A319C0"/>
    <w:rsid w:val="00A33560"/>
    <w:rsid w:val="00A364E4"/>
    <w:rsid w:val="00A371A5"/>
    <w:rsid w:val="00A41A23"/>
    <w:rsid w:val="00A47BDF"/>
    <w:rsid w:val="00A51CD7"/>
    <w:rsid w:val="00A52ADB"/>
    <w:rsid w:val="00A533E8"/>
    <w:rsid w:val="00A53FBC"/>
    <w:rsid w:val="00A542D9"/>
    <w:rsid w:val="00A56E64"/>
    <w:rsid w:val="00A6059D"/>
    <w:rsid w:val="00A624C3"/>
    <w:rsid w:val="00A6641C"/>
    <w:rsid w:val="00A74D80"/>
    <w:rsid w:val="00A767D2"/>
    <w:rsid w:val="00A77616"/>
    <w:rsid w:val="00A805DA"/>
    <w:rsid w:val="00A811B4"/>
    <w:rsid w:val="00A83E2C"/>
    <w:rsid w:val="00A85127"/>
    <w:rsid w:val="00A87CDE"/>
    <w:rsid w:val="00A90DD7"/>
    <w:rsid w:val="00A91B6B"/>
    <w:rsid w:val="00A92BAF"/>
    <w:rsid w:val="00A94737"/>
    <w:rsid w:val="00A94BA3"/>
    <w:rsid w:val="00A95B01"/>
    <w:rsid w:val="00A96CBA"/>
    <w:rsid w:val="00AA1F01"/>
    <w:rsid w:val="00AA2242"/>
    <w:rsid w:val="00AA28DB"/>
    <w:rsid w:val="00AB0C93"/>
    <w:rsid w:val="00AB1ACD"/>
    <w:rsid w:val="00AB277F"/>
    <w:rsid w:val="00AB4099"/>
    <w:rsid w:val="00AB449A"/>
    <w:rsid w:val="00AB57EF"/>
    <w:rsid w:val="00AC0C4C"/>
    <w:rsid w:val="00AD14F9"/>
    <w:rsid w:val="00AD3076"/>
    <w:rsid w:val="00AD35D6"/>
    <w:rsid w:val="00AD438A"/>
    <w:rsid w:val="00AD58C5"/>
    <w:rsid w:val="00AD69CA"/>
    <w:rsid w:val="00AE36C4"/>
    <w:rsid w:val="00AE472C"/>
    <w:rsid w:val="00AE5375"/>
    <w:rsid w:val="00AE6CF8"/>
    <w:rsid w:val="00AF19CE"/>
    <w:rsid w:val="00AF4CAC"/>
    <w:rsid w:val="00B00688"/>
    <w:rsid w:val="00B02793"/>
    <w:rsid w:val="00B03E0D"/>
    <w:rsid w:val="00B04F8A"/>
    <w:rsid w:val="00B054F8"/>
    <w:rsid w:val="00B2219A"/>
    <w:rsid w:val="00B23D23"/>
    <w:rsid w:val="00B26617"/>
    <w:rsid w:val="00B3581B"/>
    <w:rsid w:val="00B36B81"/>
    <w:rsid w:val="00B36FEE"/>
    <w:rsid w:val="00B37C80"/>
    <w:rsid w:val="00B5092B"/>
    <w:rsid w:val="00B5194E"/>
    <w:rsid w:val="00B51AF5"/>
    <w:rsid w:val="00B531FC"/>
    <w:rsid w:val="00B55347"/>
    <w:rsid w:val="00B55F93"/>
    <w:rsid w:val="00B57E5E"/>
    <w:rsid w:val="00B61F37"/>
    <w:rsid w:val="00B643AA"/>
    <w:rsid w:val="00B7307F"/>
    <w:rsid w:val="00B7770F"/>
    <w:rsid w:val="00B77A89"/>
    <w:rsid w:val="00B77B27"/>
    <w:rsid w:val="00B8134E"/>
    <w:rsid w:val="00B81B55"/>
    <w:rsid w:val="00B84054"/>
    <w:rsid w:val="00B84613"/>
    <w:rsid w:val="00B85250"/>
    <w:rsid w:val="00B87AF0"/>
    <w:rsid w:val="00B9037B"/>
    <w:rsid w:val="00B910BD"/>
    <w:rsid w:val="00B93834"/>
    <w:rsid w:val="00B96469"/>
    <w:rsid w:val="00BA0DA2"/>
    <w:rsid w:val="00BA1463"/>
    <w:rsid w:val="00BA2981"/>
    <w:rsid w:val="00BA42EE"/>
    <w:rsid w:val="00BA48F9"/>
    <w:rsid w:val="00BA656F"/>
    <w:rsid w:val="00BA6914"/>
    <w:rsid w:val="00BB0DCA"/>
    <w:rsid w:val="00BB2666"/>
    <w:rsid w:val="00BB3769"/>
    <w:rsid w:val="00BB6B3A"/>
    <w:rsid w:val="00BB6B7D"/>
    <w:rsid w:val="00BB6B80"/>
    <w:rsid w:val="00BC3773"/>
    <w:rsid w:val="00BC380D"/>
    <w:rsid w:val="00BC381A"/>
    <w:rsid w:val="00BD0962"/>
    <w:rsid w:val="00BD1EED"/>
    <w:rsid w:val="00BF0DA2"/>
    <w:rsid w:val="00BF109C"/>
    <w:rsid w:val="00BF32CD"/>
    <w:rsid w:val="00BF34FA"/>
    <w:rsid w:val="00BF58A1"/>
    <w:rsid w:val="00C004B6"/>
    <w:rsid w:val="00C047A7"/>
    <w:rsid w:val="00C05729"/>
    <w:rsid w:val="00C05DE5"/>
    <w:rsid w:val="00C20837"/>
    <w:rsid w:val="00C33027"/>
    <w:rsid w:val="00C37667"/>
    <w:rsid w:val="00C435DB"/>
    <w:rsid w:val="00C438C9"/>
    <w:rsid w:val="00C44D73"/>
    <w:rsid w:val="00C46AC1"/>
    <w:rsid w:val="00C50B42"/>
    <w:rsid w:val="00C516FF"/>
    <w:rsid w:val="00C5247D"/>
    <w:rsid w:val="00C52BFA"/>
    <w:rsid w:val="00C53D1D"/>
    <w:rsid w:val="00C53F26"/>
    <w:rsid w:val="00C540BC"/>
    <w:rsid w:val="00C6219C"/>
    <w:rsid w:val="00C64F7D"/>
    <w:rsid w:val="00C67309"/>
    <w:rsid w:val="00C7614E"/>
    <w:rsid w:val="00C77BF1"/>
    <w:rsid w:val="00C80D60"/>
    <w:rsid w:val="00C82FBD"/>
    <w:rsid w:val="00C85267"/>
    <w:rsid w:val="00C8721B"/>
    <w:rsid w:val="00C92463"/>
    <w:rsid w:val="00C9372C"/>
    <w:rsid w:val="00C93A91"/>
    <w:rsid w:val="00C9470E"/>
    <w:rsid w:val="00C95CEB"/>
    <w:rsid w:val="00C976CC"/>
    <w:rsid w:val="00CA1054"/>
    <w:rsid w:val="00CA63EB"/>
    <w:rsid w:val="00CA69F1"/>
    <w:rsid w:val="00CB5261"/>
    <w:rsid w:val="00CB6991"/>
    <w:rsid w:val="00CC31BE"/>
    <w:rsid w:val="00CC6194"/>
    <w:rsid w:val="00CC6293"/>
    <w:rsid w:val="00CC6305"/>
    <w:rsid w:val="00CC78A5"/>
    <w:rsid w:val="00CD0516"/>
    <w:rsid w:val="00CD756B"/>
    <w:rsid w:val="00CD76AF"/>
    <w:rsid w:val="00CE2EF2"/>
    <w:rsid w:val="00CE734F"/>
    <w:rsid w:val="00CF112E"/>
    <w:rsid w:val="00CF5F4F"/>
    <w:rsid w:val="00D051C1"/>
    <w:rsid w:val="00D068EF"/>
    <w:rsid w:val="00D06C51"/>
    <w:rsid w:val="00D133CB"/>
    <w:rsid w:val="00D218DC"/>
    <w:rsid w:val="00D24E56"/>
    <w:rsid w:val="00D31643"/>
    <w:rsid w:val="00D31AEB"/>
    <w:rsid w:val="00D32ECD"/>
    <w:rsid w:val="00D35DC4"/>
    <w:rsid w:val="00D361E4"/>
    <w:rsid w:val="00D42A8F"/>
    <w:rsid w:val="00D439F6"/>
    <w:rsid w:val="00D459C6"/>
    <w:rsid w:val="00D50729"/>
    <w:rsid w:val="00D50C19"/>
    <w:rsid w:val="00D5379E"/>
    <w:rsid w:val="00D5481C"/>
    <w:rsid w:val="00D62643"/>
    <w:rsid w:val="00D64C0F"/>
    <w:rsid w:val="00D72EFE"/>
    <w:rsid w:val="00D76227"/>
    <w:rsid w:val="00D77DF1"/>
    <w:rsid w:val="00D802A3"/>
    <w:rsid w:val="00D807C5"/>
    <w:rsid w:val="00D86AFF"/>
    <w:rsid w:val="00D86C53"/>
    <w:rsid w:val="00D94E5B"/>
    <w:rsid w:val="00D95A44"/>
    <w:rsid w:val="00D95D16"/>
    <w:rsid w:val="00D97C76"/>
    <w:rsid w:val="00DA0188"/>
    <w:rsid w:val="00DB02B4"/>
    <w:rsid w:val="00DB08CA"/>
    <w:rsid w:val="00DB538D"/>
    <w:rsid w:val="00DB6642"/>
    <w:rsid w:val="00DC275C"/>
    <w:rsid w:val="00DC3874"/>
    <w:rsid w:val="00DC4B0D"/>
    <w:rsid w:val="00DC5129"/>
    <w:rsid w:val="00DC7FE1"/>
    <w:rsid w:val="00DD3F3F"/>
    <w:rsid w:val="00DD5572"/>
    <w:rsid w:val="00DD75C8"/>
    <w:rsid w:val="00DE0A70"/>
    <w:rsid w:val="00DE30FC"/>
    <w:rsid w:val="00DE56CF"/>
    <w:rsid w:val="00DE5D80"/>
    <w:rsid w:val="00DF58CD"/>
    <w:rsid w:val="00DF65DE"/>
    <w:rsid w:val="00E019A5"/>
    <w:rsid w:val="00E02EC8"/>
    <w:rsid w:val="00E037F5"/>
    <w:rsid w:val="00E0426D"/>
    <w:rsid w:val="00E04ECB"/>
    <w:rsid w:val="00E05A09"/>
    <w:rsid w:val="00E06CA1"/>
    <w:rsid w:val="00E172B8"/>
    <w:rsid w:val="00E17FB4"/>
    <w:rsid w:val="00E20B75"/>
    <w:rsid w:val="00E214F2"/>
    <w:rsid w:val="00E2371E"/>
    <w:rsid w:val="00E23EEE"/>
    <w:rsid w:val="00E24BD7"/>
    <w:rsid w:val="00E26523"/>
    <w:rsid w:val="00E26809"/>
    <w:rsid w:val="00E3412D"/>
    <w:rsid w:val="00E55332"/>
    <w:rsid w:val="00E57322"/>
    <w:rsid w:val="00E628CB"/>
    <w:rsid w:val="00E62AD9"/>
    <w:rsid w:val="00E638C8"/>
    <w:rsid w:val="00E70304"/>
    <w:rsid w:val="00E7509B"/>
    <w:rsid w:val="00E830E2"/>
    <w:rsid w:val="00E86590"/>
    <w:rsid w:val="00E907FF"/>
    <w:rsid w:val="00EA3191"/>
    <w:rsid w:val="00EA42D1"/>
    <w:rsid w:val="00EA42EF"/>
    <w:rsid w:val="00EB2DD1"/>
    <w:rsid w:val="00EB6B37"/>
    <w:rsid w:val="00EB75DD"/>
    <w:rsid w:val="00EC29FE"/>
    <w:rsid w:val="00EC3C70"/>
    <w:rsid w:val="00ED3A3D"/>
    <w:rsid w:val="00ED538A"/>
    <w:rsid w:val="00ED6FBC"/>
    <w:rsid w:val="00EE2A1E"/>
    <w:rsid w:val="00EE2F16"/>
    <w:rsid w:val="00EE3861"/>
    <w:rsid w:val="00EF2E73"/>
    <w:rsid w:val="00EF3650"/>
    <w:rsid w:val="00EF7683"/>
    <w:rsid w:val="00EF7A2D"/>
    <w:rsid w:val="00F04F8D"/>
    <w:rsid w:val="00F10AD0"/>
    <w:rsid w:val="00F116CC"/>
    <w:rsid w:val="00F12BD1"/>
    <w:rsid w:val="00F15327"/>
    <w:rsid w:val="00F157E5"/>
    <w:rsid w:val="00F165C1"/>
    <w:rsid w:val="00F168CF"/>
    <w:rsid w:val="00F24D6C"/>
    <w:rsid w:val="00F2555C"/>
    <w:rsid w:val="00F31DF3"/>
    <w:rsid w:val="00F32A53"/>
    <w:rsid w:val="00F33AE5"/>
    <w:rsid w:val="00F3597D"/>
    <w:rsid w:val="00F36476"/>
    <w:rsid w:val="00F4376D"/>
    <w:rsid w:val="00F4378C"/>
    <w:rsid w:val="00F45399"/>
    <w:rsid w:val="00F465EA"/>
    <w:rsid w:val="00F53BDF"/>
    <w:rsid w:val="00F54E7B"/>
    <w:rsid w:val="00F55A88"/>
    <w:rsid w:val="00F638E8"/>
    <w:rsid w:val="00F64C18"/>
    <w:rsid w:val="00F70A9E"/>
    <w:rsid w:val="00F74005"/>
    <w:rsid w:val="00F74B96"/>
    <w:rsid w:val="00F7514B"/>
    <w:rsid w:val="00F76533"/>
    <w:rsid w:val="00F76884"/>
    <w:rsid w:val="00F83D24"/>
    <w:rsid w:val="00F83DD9"/>
    <w:rsid w:val="00F83F40"/>
    <w:rsid w:val="00FA117A"/>
    <w:rsid w:val="00FA75CA"/>
    <w:rsid w:val="00FB152F"/>
    <w:rsid w:val="00FB291F"/>
    <w:rsid w:val="00FB386A"/>
    <w:rsid w:val="00FC0786"/>
    <w:rsid w:val="00FC49EF"/>
    <w:rsid w:val="00FE36E2"/>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B1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trescpisma">
    <w:name w:val="tresc.pisma"/>
    <w:basedOn w:val="Normalny"/>
    <w:qFormat/>
    <w:rsid w:val="002E5FFA"/>
    <w:pPr>
      <w:spacing w:after="60" w:line="360" w:lineRule="auto"/>
      <w:ind w:firstLine="709"/>
      <w:jc w:val="both"/>
    </w:pPr>
    <w:rPr>
      <w:rFonts w:ascii="Times New Roman" w:hAnsi="Times New Roman"/>
      <w:sz w:val="24"/>
      <w:szCs w:val="24"/>
      <w:lang w:eastAsia="pl-PL"/>
    </w:rPr>
  </w:style>
  <w:style w:type="paragraph" w:customStyle="1" w:styleId="ARTartustawynprozporzdzenia">
    <w:name w:val="ART(§) – art. ustawy (§ np. rozporządzenia)"/>
    <w:uiPriority w:val="11"/>
    <w:qFormat/>
    <w:rsid w:val="007C3452"/>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styleId="Poprawka">
    <w:name w:val="Revision"/>
    <w:hidden/>
    <w:uiPriority w:val="99"/>
    <w:semiHidden/>
    <w:rsid w:val="001343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7456">
      <w:bodyDiv w:val="1"/>
      <w:marLeft w:val="0"/>
      <w:marRight w:val="0"/>
      <w:marTop w:val="0"/>
      <w:marBottom w:val="0"/>
      <w:divBdr>
        <w:top w:val="none" w:sz="0" w:space="0" w:color="auto"/>
        <w:left w:val="none" w:sz="0" w:space="0" w:color="auto"/>
        <w:bottom w:val="none" w:sz="0" w:space="0" w:color="auto"/>
        <w:right w:val="none" w:sz="0" w:space="0" w:color="auto"/>
      </w:divBdr>
    </w:div>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182935340">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391392397">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06892480">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1559831">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2026242909">
      <w:bodyDiv w:val="1"/>
      <w:marLeft w:val="0"/>
      <w:marRight w:val="0"/>
      <w:marTop w:val="0"/>
      <w:marBottom w:val="0"/>
      <w:divBdr>
        <w:top w:val="none" w:sz="0" w:space="0" w:color="auto"/>
        <w:left w:val="none" w:sz="0" w:space="0" w:color="auto"/>
        <w:bottom w:val="none" w:sz="0" w:space="0" w:color="auto"/>
        <w:right w:val="none" w:sz="0" w:space="0" w:color="auto"/>
      </w:divBdr>
    </w:div>
    <w:div w:id="208175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cng.pimot.eu/adresy-stacji-cng-lng-pols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AFADD-4475-43B1-854C-70AE2179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7900</Words>
  <Characters>47405</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55195</CharactersWithSpaces>
  <SharedDoc>false</SharedDoc>
  <HLinks>
    <vt:vector size="6" baseType="variant">
      <vt:variant>
        <vt:i4>4063358</vt:i4>
      </vt:variant>
      <vt:variant>
        <vt:i4>3</vt:i4>
      </vt:variant>
      <vt:variant>
        <vt:i4>0</vt:i4>
      </vt:variant>
      <vt:variant>
        <vt:i4>5</vt:i4>
      </vt:variant>
      <vt:variant>
        <vt:lpwstr>http://lcng.pimot.eu/adresy-stacji-cng-lng-polska/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2021-02-11T09:17:00Z</dcterms:created>
  <dcterms:modified xsi:type="dcterms:W3CDTF">2021-02-12T13:23:00Z</dcterms:modified>
</cp:coreProperties>
</file>